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E59" w:rsidRPr="00C254B7" w:rsidRDefault="00903E59" w:rsidP="00007FF2">
      <w:pPr>
        <w:pStyle w:val="Title"/>
        <w:jc w:val="center"/>
        <w:rPr>
          <w:color w:val="C00000"/>
          <w:spacing w:val="0"/>
          <w14:ligatures w14:val="standardContextual"/>
          <w14:numForm w14:val="oldStyle"/>
        </w:rPr>
      </w:pPr>
      <w:bookmarkStart w:id="0" w:name="_GoBack"/>
      <w:proofErr w:type="spellStart"/>
      <w:r w:rsidRPr="00C254B7">
        <w:rPr>
          <w:color w:val="C00000"/>
          <w:spacing w:val="0"/>
          <w14:ligatures w14:val="standardContextual"/>
          <w14:numForm w14:val="oldStyle"/>
        </w:rPr>
        <w:t>Arbejdspapir</w:t>
      </w:r>
      <w:proofErr w:type="spellEnd"/>
      <w:r w:rsidRPr="00C254B7">
        <w:rPr>
          <w:color w:val="C00000"/>
          <w:spacing w:val="0"/>
          <w14:ligatures w14:val="standardContextual"/>
          <w14:numForm w14:val="oldStyle"/>
        </w:rPr>
        <w:t xml:space="preserve"> nr. 17</w:t>
      </w:r>
    </w:p>
    <w:p w:rsidR="00903E59" w:rsidRPr="00C254B7" w:rsidRDefault="00903E59" w:rsidP="00007FF2">
      <w:pPr>
        <w:pStyle w:val="Title"/>
        <w:jc w:val="center"/>
        <w:rPr>
          <w:color w:val="C00000"/>
          <w:spacing w:val="0"/>
          <w14:ligatures w14:val="standardContextual"/>
          <w14:numForm w14:val="oldStyle"/>
        </w:rPr>
      </w:pPr>
      <w:proofErr w:type="spellStart"/>
      <w:r w:rsidRPr="00C254B7">
        <w:rPr>
          <w:color w:val="C00000"/>
          <w:spacing w:val="0"/>
          <w14:ligatures w14:val="standardContextual"/>
          <w14:numForm w14:val="oldStyle"/>
        </w:rPr>
        <w:t>Institutu</w:t>
      </w:r>
      <w:proofErr w:type="spellEnd"/>
      <w:r w:rsidRPr="00C254B7">
        <w:rPr>
          <w:color w:val="C00000"/>
          <w:spacing w:val="0"/>
          <w14:ligatures w14:val="standardContextual"/>
          <w14:numForm w14:val="oldStyle"/>
        </w:rPr>
        <w:t xml:space="preserve"> for </w:t>
      </w:r>
      <w:proofErr w:type="spellStart"/>
      <w:r w:rsidRPr="00C254B7">
        <w:rPr>
          <w:color w:val="C00000"/>
          <w:spacing w:val="0"/>
          <w14:ligatures w14:val="standardContextual"/>
          <w14:numForm w14:val="oldStyle"/>
        </w:rPr>
        <w:t>Litteraturhistorie</w:t>
      </w:r>
      <w:proofErr w:type="spellEnd"/>
    </w:p>
    <w:p w:rsidR="00903E59" w:rsidRPr="00C254B7" w:rsidRDefault="00903E59" w:rsidP="00007FF2">
      <w:pPr>
        <w:pStyle w:val="Title"/>
        <w:jc w:val="center"/>
        <w:rPr>
          <w:color w:val="C00000"/>
          <w:spacing w:val="0"/>
          <w14:ligatures w14:val="standardContextual"/>
          <w14:numForm w14:val="oldStyle"/>
        </w:rPr>
      </w:pPr>
      <w:r w:rsidRPr="00C254B7">
        <w:rPr>
          <w:color w:val="C00000"/>
          <w:spacing w:val="0"/>
          <w14:ligatures w14:val="standardContextual"/>
          <w14:numForm w14:val="oldStyle"/>
        </w:rPr>
        <w:t xml:space="preserve">Aarhus </w:t>
      </w:r>
      <w:proofErr w:type="spellStart"/>
      <w:r w:rsidRPr="00C254B7">
        <w:rPr>
          <w:color w:val="C00000"/>
          <w:spacing w:val="0"/>
          <w14:ligatures w14:val="standardContextual"/>
          <w14:numForm w14:val="oldStyle"/>
        </w:rPr>
        <w:t>Universitet</w:t>
      </w:r>
      <w:proofErr w:type="spellEnd"/>
    </w:p>
    <w:p w:rsidR="00007FF2" w:rsidRPr="00C254B7" w:rsidRDefault="00007FF2" w:rsidP="00007FF2">
      <w:pPr>
        <w:pStyle w:val="Title"/>
        <w:jc w:val="center"/>
        <w:rPr>
          <w:color w:val="C00000"/>
          <w:spacing w:val="0"/>
          <w:sz w:val="24"/>
          <w:szCs w:val="24"/>
          <w14:ligatures w14:val="standardContextual"/>
          <w14:numForm w14:val="oldStyle"/>
        </w:rPr>
      </w:pPr>
    </w:p>
    <w:p w:rsidR="00903E59" w:rsidRPr="00C254B7" w:rsidRDefault="00903E59" w:rsidP="00007FF2">
      <w:pPr>
        <w:pStyle w:val="Title"/>
        <w:jc w:val="center"/>
        <w:rPr>
          <w:color w:val="C00000"/>
          <w:spacing w:val="0"/>
          <w:sz w:val="24"/>
          <w:szCs w:val="24"/>
          <w14:ligatures w14:val="standardContextual"/>
          <w14:numForm w14:val="oldStyle"/>
        </w:rPr>
      </w:pPr>
      <w:r w:rsidRPr="00C254B7">
        <w:rPr>
          <w:color w:val="C00000"/>
          <w:spacing w:val="0"/>
          <w:sz w:val="24"/>
          <w:szCs w:val="24"/>
          <w14:ligatures w14:val="standardContextual"/>
          <w14:numForm w14:val="oldStyle"/>
        </w:rPr>
        <w:t>Preface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 xml:space="preserve">The present paper by Professor J. </w:t>
      </w:r>
      <w:proofErr w:type="spellStart"/>
      <w:r w:rsidRPr="00C254B7">
        <w:rPr>
          <w14:ligatures w14:val="standardContextual"/>
          <w14:numForm w14:val="oldStyle"/>
        </w:rPr>
        <w:t>Hillis</w:t>
      </w:r>
      <w:proofErr w:type="spellEnd"/>
      <w:r w:rsidRPr="00C254B7">
        <w:rPr>
          <w14:ligatures w14:val="standardContextual"/>
          <w14:numForm w14:val="oldStyle"/>
        </w:rPr>
        <w:t xml:space="preserve"> Miller was given as a lecture at a </w:t>
      </w:r>
      <w:proofErr w:type="spellStart"/>
      <w:r w:rsidRPr="00C254B7">
        <w:rPr>
          <w14:ligatures w14:val="standardContextual"/>
          <w14:numForm w14:val="oldStyle"/>
        </w:rPr>
        <w:t>closereading</w:t>
      </w:r>
      <w:proofErr w:type="spellEnd"/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session at Aarhus University, May 11, 1998. In the paper </w:t>
      </w:r>
      <w:proofErr w:type="spellStart"/>
      <w:r w:rsidRPr="00C254B7">
        <w:rPr>
          <w14:ligatures w14:val="standardContextual"/>
          <w14:numForm w14:val="oldStyle"/>
        </w:rPr>
        <w:t>Hillis</w:t>
      </w:r>
      <w:proofErr w:type="spellEnd"/>
      <w:r w:rsidRPr="00C254B7">
        <w:rPr>
          <w14:ligatures w14:val="standardContextual"/>
          <w14:numForm w14:val="oldStyle"/>
        </w:rPr>
        <w:t xml:space="preserve"> Miller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gives a close analysis of the veiling and unveiling forces in Joseph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novel </w:t>
      </w:r>
      <w:r w:rsidRPr="00C254B7">
        <w:rPr>
          <w:i/>
          <w:iCs/>
          <w14:ligatures w14:val="standardContextual"/>
          <w14:numForm w14:val="oldStyle"/>
        </w:rPr>
        <w:t>Heart of Darkness</w:t>
      </w:r>
      <w:r w:rsidRPr="00C254B7">
        <w:rPr>
          <w14:ligatures w14:val="standardContextual"/>
          <w14:numForm w14:val="oldStyle"/>
        </w:rPr>
        <w:t xml:space="preserve">. The paper is a strong argument in </w:t>
      </w:r>
      <w:proofErr w:type="spellStart"/>
      <w:r w:rsidRPr="00C254B7">
        <w:rPr>
          <w14:ligatures w14:val="standardContextual"/>
          <w14:numForm w14:val="oldStyle"/>
        </w:rPr>
        <w:t>favour</w:t>
      </w:r>
      <w:proofErr w:type="spellEnd"/>
      <w:r w:rsidRPr="00C254B7">
        <w:rPr>
          <w14:ligatures w14:val="standardContextual"/>
          <w14:numForm w14:val="oldStyle"/>
        </w:rPr>
        <w:t xml:space="preserve"> of the close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reading also of this novel that by many cultural critics have come to be regarded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as a controversial, if not downright racist and sexist, novel.</w:t>
      </w:r>
    </w:p>
    <w:p w:rsidR="00903E59" w:rsidRPr="00C254B7" w:rsidRDefault="00903E59" w:rsidP="00903E59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14:ligatures w14:val="standardContextual"/>
          <w14:numForm w14:val="oldStyle"/>
        </w:rPr>
      </w:pPr>
      <w:r w:rsidRPr="00C254B7">
        <w:rPr>
          <w:rFonts w:ascii="Times New Roman" w:hAnsi="Times New Roman"/>
          <w:szCs w:val="24"/>
          <w14:ligatures w14:val="standardContextual"/>
          <w14:numForm w14:val="oldStyle"/>
        </w:rPr>
        <w:t xml:space="preserve">The paper is printed here with the kind permission of J. </w:t>
      </w:r>
      <w:proofErr w:type="spellStart"/>
      <w:r w:rsidRPr="00C254B7">
        <w:rPr>
          <w:rFonts w:ascii="Times New Roman" w:hAnsi="Times New Roman"/>
          <w:szCs w:val="24"/>
          <w14:ligatures w14:val="standardContextual"/>
          <w14:numForm w14:val="oldStyle"/>
        </w:rPr>
        <w:t>Hillis</w:t>
      </w:r>
      <w:proofErr w:type="spellEnd"/>
      <w:r w:rsidRPr="00C254B7">
        <w:rPr>
          <w:rFonts w:ascii="Times New Roman" w:hAnsi="Times New Roman"/>
          <w:szCs w:val="24"/>
          <w14:ligatures w14:val="standardContextual"/>
          <w14:numForm w14:val="oldStyle"/>
        </w:rPr>
        <w:t xml:space="preserve"> Miller.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>(KMS)</w:t>
      </w:r>
    </w:p>
    <w:p w:rsidR="00903E59" w:rsidRPr="00C254B7" w:rsidRDefault="00903E59" w:rsidP="00903E59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14:ligatures w14:val="standardContextual"/>
          <w14:numForm w14:val="oldStyle"/>
        </w:rPr>
      </w:pPr>
    </w:p>
    <w:p w:rsidR="00903E59" w:rsidRPr="00C254B7" w:rsidRDefault="00903E59" w:rsidP="00007FF2">
      <w:pPr>
        <w:pStyle w:val="Heading1"/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>Should We Read Heart of Darkness?</w:t>
      </w:r>
    </w:p>
    <w:p w:rsidR="00903E59" w:rsidRPr="00C254B7" w:rsidRDefault="00903E59" w:rsidP="00007FF2">
      <w:pPr>
        <w:autoSpaceDE w:val="0"/>
        <w:autoSpaceDN w:val="0"/>
        <w:adjustRightInd w:val="0"/>
        <w:spacing w:after="240"/>
        <w:jc w:val="center"/>
        <w:rPr>
          <w:color w:val="C00000"/>
          <w:sz w:val="28"/>
          <w:szCs w:val="28"/>
          <w14:ligatures w14:val="standardContextual"/>
          <w14:numForm w14:val="oldStyle"/>
        </w:rPr>
      </w:pPr>
      <w:r w:rsidRPr="00C254B7">
        <w:rPr>
          <w:color w:val="C00000"/>
          <w:sz w:val="28"/>
          <w:szCs w:val="28"/>
          <w14:ligatures w14:val="standardContextual"/>
          <w14:numForm w14:val="oldStyle"/>
        </w:rPr>
        <w:t>The inaccessible incites from its place of hiding. (Jacques Derrida)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 xml:space="preserve">Should we read </w:t>
      </w:r>
      <w:r w:rsidRPr="00C254B7">
        <w:rPr>
          <w:i/>
          <w:iCs/>
          <w14:ligatures w14:val="standardContextual"/>
          <w14:numForm w14:val="oldStyle"/>
        </w:rPr>
        <w:t>Heart of Darkness</w:t>
      </w:r>
      <w:proofErr w:type="gramStart"/>
      <w:r w:rsidRPr="00C254B7">
        <w:rPr>
          <w14:ligatures w14:val="standardContextual"/>
          <w14:numForm w14:val="oldStyle"/>
        </w:rPr>
        <w:t>?</w:t>
      </w:r>
      <w:r w:rsidRPr="00C254B7">
        <w:rPr>
          <w:sz w:val="14"/>
          <w:szCs w:val="14"/>
          <w14:ligatures w14:val="standardContextual"/>
          <w14:numForm w14:val="oldStyle"/>
        </w:rPr>
        <w:t>1</w:t>
      </w:r>
      <w:proofErr w:type="gramEnd"/>
      <w:r w:rsidRPr="00C254B7">
        <w:rPr>
          <w:sz w:val="14"/>
          <w:szCs w:val="14"/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May we read it? Must we read it? Or, on the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contrary, ought we not to read it or allow our students and the public in general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</w:t>
      </w:r>
      <w:r w:rsidR="00E31E68" w:rsidRPr="00C254B7">
        <w:rPr>
          <w14:ligatures w14:val="standardContextual"/>
          <w14:numForm w14:val="oldStyle"/>
        </w:rPr>
        <w:t xml:space="preserve">o read it? Should every copy be </w:t>
      </w:r>
      <w:r w:rsidRPr="00C254B7">
        <w:rPr>
          <w14:ligatures w14:val="standardContextual"/>
          <w14:numForm w14:val="oldStyle"/>
        </w:rPr>
        <w:t>taken from all the shelves and burned? What or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who gives us the authority to make a decision about that? Who is this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we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in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whose name I speak? What community forms that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we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>? Nothing could be more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problematic than the bland appeal to some homogeneous authoritative body,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say professors of English literature everywhere, capable of deciding collectively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whether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we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should read </w:t>
      </w:r>
      <w:r w:rsidRPr="00C254B7">
        <w:rPr>
          <w:i/>
          <w:iCs/>
          <w14:ligatures w14:val="standardContextual"/>
          <w14:numForm w14:val="oldStyle"/>
        </w:rPr>
        <w:t>Heart of Darkness</w:t>
      </w:r>
      <w:r w:rsidRPr="00C254B7">
        <w:rPr>
          <w14:ligatures w14:val="standardContextual"/>
          <w14:numForm w14:val="oldStyle"/>
        </w:rPr>
        <w:t xml:space="preserve">. By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read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 mean not just run the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words passively through the mind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ear, but perform a reading in the strong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sense, an active responsible response that renders justice to a book by generating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more language in its turn, the language of attestation, even though that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language may remain silent or implicit. Such a response testifies to having been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changed by the reading. Part of the problem, as you can see, is that it is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impossible to decide authoritatively whether or not we should read </w:t>
      </w:r>
      <w:r w:rsidRPr="00C254B7">
        <w:rPr>
          <w:i/>
          <w:iCs/>
          <w14:ligatures w14:val="standardContextual"/>
          <w14:numForm w14:val="oldStyle"/>
        </w:rPr>
        <w:t>Heart of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:i/>
          <w:iCs/>
          <w14:ligatures w14:val="standardContextual"/>
          <w14:numForm w14:val="oldStyle"/>
        </w:rPr>
        <w:t xml:space="preserve">Darkness </w:t>
      </w:r>
      <w:r w:rsidRPr="00C254B7">
        <w:rPr>
          <w14:ligatures w14:val="standardContextual"/>
          <w14:numForm w14:val="oldStyle"/>
        </w:rPr>
        <w:t>without reading it in that strong sense. By then it is too late. I have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already read it, been affected by it, and passed my judgment, perhaps recorded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it for others to read. Which of us, however, would or should want to take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someone else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word for what is in a book? Each must read again in his or her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turn and bear witness to that reading in his or her turn. In that aphorism about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which Jacques Derrida has had so much to say, Paul </w:t>
      </w:r>
      <w:proofErr w:type="spellStart"/>
      <w:r w:rsidRPr="00C254B7">
        <w:rPr>
          <w14:ligatures w14:val="standardContextual"/>
          <w14:numForm w14:val="oldStyle"/>
        </w:rPr>
        <w:t>Celan</w:t>
      </w:r>
      <w:proofErr w:type="spellEnd"/>
      <w:r w:rsidRPr="00C254B7">
        <w:rPr>
          <w14:ligatures w14:val="standardContextual"/>
          <w14:numForm w14:val="oldStyle"/>
        </w:rPr>
        <w:t xml:space="preserve"> says,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No one bears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witness for the witness.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This might be altered to say,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No one can do your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reading for you.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Each must read for himself or herself and testify anew.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 xml:space="preserve">This structure is inscribed in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itself. The primary narrator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bears witness through exact citation to what he heard Marlow say that night on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the deck of cru</w:t>
      </w:r>
      <w:r w:rsidR="00E31E68" w:rsidRPr="00C254B7">
        <w:rPr>
          <w14:ligatures w14:val="standardContextual"/>
          <w14:numForm w14:val="oldStyle"/>
        </w:rPr>
        <w:t>i</w:t>
      </w:r>
      <w:r w:rsidRPr="00C254B7">
        <w:rPr>
          <w14:ligatures w14:val="standardContextual"/>
          <w14:numForm w14:val="oldStyle"/>
        </w:rPr>
        <w:t xml:space="preserve">sing yawl </w:t>
      </w:r>
      <w:r w:rsidRPr="00C254B7">
        <w:rPr>
          <w:i/>
          <w:iCs/>
          <w14:ligatures w14:val="standardContextual"/>
          <w14:numForm w14:val="oldStyle"/>
        </w:rPr>
        <w:t>Nellie</w:t>
      </w:r>
      <w:r w:rsidRPr="00C254B7">
        <w:rPr>
          <w14:ligatures w14:val="standardContextual"/>
          <w14:numForm w14:val="oldStyle"/>
        </w:rPr>
        <w:t>, as he and the other men, the Lawyer, the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Accountant, the Director of Companies, </w:t>
      </w:r>
      <w:r w:rsidRPr="00C254B7">
        <w:rPr>
          <w14:ligatures w14:val="standardContextual"/>
          <w14:numForm w14:val="oldStyle"/>
        </w:rPr>
        <w:lastRenderedPageBreak/>
        <w:t>representatives of advanced capitalism</w:t>
      </w:r>
      <w:r w:rsidR="00E31E68" w:rsidRPr="00C254B7">
        <w:rPr>
          <w14:ligatures w14:val="standardContextual"/>
          <w14:numForm w14:val="oldStyle"/>
        </w:rPr>
        <w:t xml:space="preserve"> and </w:t>
      </w:r>
      <w:proofErr w:type="spellStart"/>
      <w:r w:rsidR="00E31E68" w:rsidRPr="00C254B7">
        <w:rPr>
          <w14:ligatures w14:val="standardContextual"/>
          <w14:numForm w14:val="oldStyle"/>
        </w:rPr>
        <w:t>imperialism,</w:t>
      </w:r>
      <w:r w:rsidRPr="00C254B7">
        <w:rPr>
          <w14:ligatures w14:val="standardContextual"/>
          <w14:numForm w14:val="oldStyle"/>
        </w:rPr>
        <w:t>waited</w:t>
      </w:r>
      <w:proofErr w:type="spellEnd"/>
      <w:r w:rsidRPr="00C254B7">
        <w:rPr>
          <w14:ligatures w14:val="standardContextual"/>
          <w14:numForm w14:val="oldStyle"/>
        </w:rPr>
        <w:t xml:space="preserve"> for the tide to turn so they could float down the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Thames and out to sea, presumably on a pleasure cruise.</w:t>
      </w:r>
      <w:r w:rsidRPr="00C254B7">
        <w:rPr>
          <w:sz w:val="14"/>
          <w:szCs w:val="14"/>
          <w14:ligatures w14:val="standardContextual"/>
          <w14:numForm w14:val="oldStyle"/>
        </w:rPr>
        <w:t xml:space="preserve">2 </w:t>
      </w:r>
      <w:r w:rsidRPr="00C254B7">
        <w:rPr>
          <w14:ligatures w14:val="standardContextual"/>
          <w14:numForm w14:val="oldStyle"/>
        </w:rPr>
        <w:t>They have enough</w:t>
      </w:r>
      <w:r w:rsidR="00E31E68" w:rsidRPr="00C254B7">
        <w:rPr>
          <w14:ligatures w14:val="standardContextual"/>
          <w14:numForm w14:val="oldStyle"/>
        </w:rPr>
        <w:t xml:space="preserve">  </w:t>
      </w:r>
      <w:r w:rsidRPr="00C254B7">
        <w:rPr>
          <w14:ligatures w14:val="standardContextual"/>
          <w14:numForm w14:val="oldStyle"/>
        </w:rPr>
        <w:t>wealth and leisure to take time off to do as an aesthetic end in itself what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Marlow has done for pay as a professional seaman. The profession of the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primary, framing narrator is never specified. He cites with what the reader is led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to believe is conscientious and meticulous accuracy just what Marlow said.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>What Marlow said, put within quotation marks throughout, is a story, the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recounting of and accounting for </w:t>
      </w:r>
      <w:proofErr w:type="gramStart"/>
      <w:r w:rsidRPr="00C254B7">
        <w:rPr>
          <w14:ligatures w14:val="standardContextual"/>
          <w14:numForm w14:val="oldStyle"/>
        </w:rPr>
        <w:t>a what</w:t>
      </w:r>
      <w:proofErr w:type="gramEnd"/>
      <w:r w:rsidRPr="00C254B7">
        <w:rPr>
          <w14:ligatures w14:val="standardContextual"/>
          <w14:numForm w14:val="oldStyle"/>
        </w:rPr>
        <w:t xml:space="preserve"> he calls an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experience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that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seemed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somehow to throw a kind of light on everything about me--and into my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thoughts. It was </w:t>
      </w:r>
      <w:proofErr w:type="spellStart"/>
      <w:r w:rsidRPr="00C254B7">
        <w:rPr>
          <w14:ligatures w14:val="standardContextual"/>
          <w14:numForm w14:val="oldStyle"/>
        </w:rPr>
        <w:t>sombre</w:t>
      </w:r>
      <w:proofErr w:type="spellEnd"/>
      <w:r w:rsidRPr="00C254B7">
        <w:rPr>
          <w14:ligatures w14:val="standardContextual"/>
          <w14:numForm w14:val="oldStyle"/>
        </w:rPr>
        <w:t xml:space="preserve"> enough too--and pitiful--not extraordinary in any way--not very clear either. No, not very clear, and yet it seemed to throw a kind oflight.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:sz w:val="14"/>
          <w:szCs w:val="14"/>
          <w14:ligatures w14:val="standardContextual"/>
          <w14:numForm w14:val="oldStyle"/>
        </w:rPr>
        <w:t xml:space="preserve">3 </w:t>
      </w:r>
      <w:r w:rsidRPr="00C254B7">
        <w:rPr>
          <w14:ligatures w14:val="standardContextual"/>
          <w14:numForm w14:val="oldStyle"/>
        </w:rPr>
        <w:t xml:space="preserve">(7). That recounting and accounting centers on an attempt to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render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justice,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as Marlow puts it, to Kurtz, the man he meets at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farthest point of</w:t>
      </w:r>
      <w:r w:rsidR="00E31E68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navigation and the culminating point of my experience.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What Marlow says 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the beginning is also an implicit promise to his listeners and to us as readers. 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promises that he will pass on to them and to us the illumination he has received.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Nor have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readers failed to respond to this demand for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interpretation. A large secondary literature has sprung up around </w:t>
      </w:r>
      <w:r w:rsidRPr="00C254B7">
        <w:rPr>
          <w:i/>
          <w:iCs/>
          <w14:ligatures w14:val="standardContextual"/>
          <w14:numForm w14:val="oldStyle"/>
        </w:rPr>
        <w:t>Heart of</w:t>
      </w:r>
      <w:r w:rsidR="00007FF2" w:rsidRPr="00C254B7">
        <w:rPr>
          <w:i/>
          <w:iCs/>
          <w14:ligatures w14:val="standardContextual"/>
          <w14:numForm w14:val="oldStyle"/>
        </w:rPr>
        <w:t xml:space="preserve"> </w:t>
      </w:r>
      <w:r w:rsidRPr="00C254B7">
        <w:rPr>
          <w:i/>
          <w:iCs/>
          <w14:ligatures w14:val="standardContextual"/>
          <w14:numForm w14:val="oldStyle"/>
        </w:rPr>
        <w:t>Darkness</w:t>
      </w:r>
      <w:r w:rsidRPr="00C254B7">
        <w:rPr>
          <w14:ligatures w14:val="standardContextual"/>
          <w14:numForm w14:val="oldStyle"/>
        </w:rPr>
        <w:t xml:space="preserve">. These essays and books of course have a </w:t>
      </w:r>
      <w:proofErr w:type="spellStart"/>
      <w:r w:rsidRPr="00C254B7">
        <w:rPr>
          <w14:ligatures w14:val="standardContextual"/>
          <w14:numForm w14:val="oldStyle"/>
        </w:rPr>
        <w:t>constative</w:t>
      </w:r>
      <w:proofErr w:type="spellEnd"/>
      <w:r w:rsidRPr="00C254B7">
        <w:rPr>
          <w14:ligatures w14:val="standardContextual"/>
          <w14:numForm w14:val="oldStyle"/>
        </w:rPr>
        <w:t xml:space="preserve"> dimension. They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often provide precious information about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life, about his experiences in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Africa, about late nineteenth-century imperialism, especially about that terrible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murdering devastation wrought by King Leopold in the Belgian Congo, as it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was then called, about the supposed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originals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of characters in </w:t>
      </w:r>
      <w:r w:rsidRPr="00C254B7">
        <w:rPr>
          <w:i/>
          <w:iCs/>
          <w14:ligatures w14:val="standardContextual"/>
          <w14:numForm w14:val="oldStyle"/>
        </w:rPr>
        <w:t>Heart of</w:t>
      </w:r>
      <w:r w:rsidR="00007FF2" w:rsidRPr="00C254B7">
        <w:rPr>
          <w:i/>
          <w:iCs/>
          <w14:ligatures w14:val="standardContextual"/>
          <w14:numForm w14:val="oldStyle"/>
        </w:rPr>
        <w:t xml:space="preserve"> </w:t>
      </w:r>
      <w:r w:rsidRPr="00C254B7">
        <w:rPr>
          <w:i/>
          <w:iCs/>
          <w14:ligatures w14:val="standardContextual"/>
          <w14:numForm w14:val="oldStyle"/>
        </w:rPr>
        <w:t>Darkness</w:t>
      </w:r>
      <w:r w:rsidRPr="00C254B7">
        <w:rPr>
          <w14:ligatures w14:val="standardContextual"/>
          <w14:numForm w14:val="oldStyle"/>
        </w:rPr>
        <w:t>, and so on. This secondary literature, however, often also has an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explicit </w:t>
      </w:r>
      <w:proofErr w:type="spellStart"/>
      <w:r w:rsidRPr="00C254B7">
        <w:rPr>
          <w14:ligatures w14:val="standardContextual"/>
          <w14:numForm w14:val="oldStyle"/>
        </w:rPr>
        <w:t>performative</w:t>
      </w:r>
      <w:proofErr w:type="spellEnd"/>
      <w:r w:rsidRPr="00C254B7">
        <w:rPr>
          <w14:ligatures w14:val="standardContextual"/>
          <w14:numForm w14:val="oldStyle"/>
        </w:rPr>
        <w:t xml:space="preserve"> dimension.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novel is brought before the bar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justice, arraigned, tried, and judged. The critic acts as witness of his or her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reading, also as interrogator, prosecuting attorney, jury, and presiding judge.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The critic passes judgment and renders justice.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has often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received a heavy sentence from its critics. It has been condemned, often in angry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terms, as racist or sexist, sometimes in the same essay as both. Examples are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influential essay of 1975 by the distinguished Nigerian novelist, Chinua Achebe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(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Conrad was a bloody racist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), or an essay of 1989 by Bette London: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Dependent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upon unexamined assumptions, themselves culturally suspect, the novel, in its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representations of sex and gender, supports dubious cultural claims; it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participates in and promotes a racial as well as gender ideology that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narrative represents as transparent and </w:t>
      </w:r>
      <w:r w:rsidR="00C254B7" w:rsidRPr="00C254B7">
        <w:rPr>
          <w14:ligatures w14:val="standardContextual"/>
          <w14:numForm w14:val="oldStyle"/>
        </w:rPr>
        <w:t>‘</w:t>
      </w:r>
      <w:r w:rsidRPr="00C254B7">
        <w:rPr>
          <w14:ligatures w14:val="standardContextual"/>
          <w14:numForm w14:val="oldStyle"/>
        </w:rPr>
        <w:t>self-evident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:sz w:val="14"/>
          <w:szCs w:val="14"/>
          <w14:ligatures w14:val="standardContextual"/>
          <w14:numForm w14:val="oldStyle"/>
        </w:rPr>
        <w:t xml:space="preserve">4 </w:t>
      </w:r>
      <w:r w:rsidRPr="00C254B7">
        <w:rPr>
          <w14:ligatures w14:val="standardContextual"/>
          <w14:numForm w14:val="oldStyle"/>
        </w:rPr>
        <w:t>Edward Said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judgment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in </w:t>
      </w:r>
      <w:r w:rsidRPr="00C254B7">
        <w:rPr>
          <w:i/>
          <w:iCs/>
          <w14:ligatures w14:val="standardContextual"/>
          <w14:numForm w14:val="oldStyle"/>
        </w:rPr>
        <w:t>Culture and Imperialism</w:t>
      </w:r>
      <w:r w:rsidRPr="00C254B7">
        <w:rPr>
          <w14:ligatures w14:val="standardContextual"/>
          <w14:numForm w14:val="oldStyle"/>
        </w:rPr>
        <w:t>, though giving Conrad his due as a critic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imperialism and recognizing the complexity of doing justice to </w:t>
      </w:r>
      <w:r w:rsidRPr="00C254B7">
        <w:rPr>
          <w:i/>
          <w:iCs/>
          <w14:ligatures w14:val="standardContextual"/>
          <w14:numForm w14:val="oldStyle"/>
        </w:rPr>
        <w:t>Heart of Darkness</w:t>
      </w:r>
      <w:r w:rsidRPr="00C254B7">
        <w:rPr>
          <w14:ligatures w14:val="standardContextual"/>
          <w14:numForm w14:val="oldStyle"/>
        </w:rPr>
        <w:t>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is in the end equally severe in his summing up: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cultural and ideological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evidence that Conrad was wrong in his Eurocentric way is both impressive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rich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>.</w:t>
      </w:r>
      <w:r w:rsidRPr="00C254B7">
        <w:rPr>
          <w:sz w:val="14"/>
          <w:szCs w:val="14"/>
          <w14:ligatures w14:val="standardContextual"/>
          <w14:numForm w14:val="oldStyle"/>
        </w:rPr>
        <w:t>5</w:t>
      </w:r>
      <w:r w:rsidRPr="00C254B7">
        <w:rPr>
          <w14:ligatures w14:val="standardContextual"/>
          <w14:numForm w14:val="oldStyle"/>
        </w:rPr>
        <w:t xml:space="preserve">These are powerful indictments. If what they say renders justice to </w:t>
      </w:r>
      <w:r w:rsidRPr="00C254B7">
        <w:rPr>
          <w:i/>
          <w:iCs/>
          <w14:ligatures w14:val="standardContextual"/>
          <w14:numForm w14:val="oldStyle"/>
        </w:rPr>
        <w:t>Heart of</w:t>
      </w:r>
      <w:r w:rsidR="00007FF2" w:rsidRPr="00C254B7">
        <w:rPr>
          <w:i/>
          <w:iCs/>
          <w14:ligatures w14:val="standardContextual"/>
          <w14:numForm w14:val="oldStyle"/>
        </w:rPr>
        <w:t xml:space="preserve"> </w:t>
      </w:r>
      <w:r w:rsidRPr="00C254B7">
        <w:rPr>
          <w:i/>
          <w:iCs/>
          <w14:ligatures w14:val="standardContextual"/>
          <w14:numForm w14:val="oldStyle"/>
        </w:rPr>
        <w:t>Darkness</w:t>
      </w:r>
      <w:r w:rsidRPr="00C254B7">
        <w:rPr>
          <w14:ligatures w14:val="standardContextual"/>
          <w14:numForm w14:val="oldStyle"/>
        </w:rPr>
        <w:t>, if their witness may be trusted, it might seem inevitably to follow that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the novel should not be read, taught, or written about, except perhaps as an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example of something detestable. Nevertheless, according to the paradox I have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already mentioned, you could only be sure about this by reading the novel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yourself, thereby putting yourself, if these critics are right, in danger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becoming sexist, racist, and Eurocentric yourself. Even so, no one bears witness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for the witness, and no one else can do your reading for you.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To pass judgment anew it is necessary to take the risk and read </w:t>
      </w:r>
      <w:r w:rsidRPr="00C254B7">
        <w:rPr>
          <w:i/>
          <w:iCs/>
          <w14:ligatures w14:val="standardContextual"/>
          <w14:numForm w14:val="oldStyle"/>
        </w:rPr>
        <w:t>Heart of</w:t>
      </w:r>
      <w:r w:rsidR="00007FF2" w:rsidRPr="00C254B7">
        <w:rPr>
          <w:i/>
          <w:iCs/>
          <w14:ligatures w14:val="standardContextual"/>
          <w14:numForm w14:val="oldStyle"/>
        </w:rPr>
        <w:t xml:space="preserve"> </w:t>
      </w:r>
      <w:r w:rsidRPr="00C254B7">
        <w:rPr>
          <w:i/>
          <w:iCs/>
          <w14:ligatures w14:val="standardContextual"/>
          <w14:numForm w14:val="oldStyle"/>
        </w:rPr>
        <w:t xml:space="preserve">Darkness </w:t>
      </w:r>
      <w:r w:rsidRPr="00C254B7">
        <w:rPr>
          <w14:ligatures w14:val="standardContextual"/>
          <w14:numForm w14:val="oldStyle"/>
        </w:rPr>
        <w:t xml:space="preserve">for yourself. I </w:t>
      </w:r>
      <w:r w:rsidRPr="00C254B7">
        <w:rPr>
          <w14:ligatures w14:val="standardContextual"/>
          <w14:numForm w14:val="oldStyle"/>
        </w:rPr>
        <w:lastRenderedPageBreak/>
        <w:t xml:space="preserve">shall now try to do that. I begin by claiming that </w:t>
      </w:r>
      <w:r w:rsidRPr="00C254B7">
        <w:rPr>
          <w:i/>
          <w:iCs/>
          <w14:ligatures w14:val="standardContextual"/>
          <w14:numForm w14:val="oldStyle"/>
        </w:rPr>
        <w:t>Heart of</w:t>
      </w:r>
      <w:r w:rsidR="00007FF2" w:rsidRPr="00C254B7">
        <w:rPr>
          <w:i/>
          <w:iCs/>
          <w14:ligatures w14:val="standardContextual"/>
          <w14:numForm w14:val="oldStyle"/>
        </w:rPr>
        <w:t xml:space="preserve"> </w:t>
      </w:r>
      <w:r w:rsidRPr="00C254B7">
        <w:rPr>
          <w:i/>
          <w:iCs/>
          <w14:ligatures w14:val="standardContextual"/>
          <w14:numForm w14:val="oldStyle"/>
        </w:rPr>
        <w:t xml:space="preserve">Darkness </w:t>
      </w:r>
      <w:r w:rsidRPr="00C254B7">
        <w:rPr>
          <w14:ligatures w14:val="standardContextual"/>
          <w14:numForm w14:val="oldStyle"/>
        </w:rPr>
        <w:t>is a literary work, not history, autobiography, travel writing,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journalism, or any other genre.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 xml:space="preserve">In just what way does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invite reading as literature rather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than, say, as a historical account or as an autobiography? The most obvious way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is in the displacement from Conrad to two imaginary narrators, neither of whom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is to be identified with Conrad, any more than Socrates, in the Platonic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dialogues is to be identified with Plato. The reader who says Conrad speaks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directly for himself either in the words of the frame narrator or in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words does so at his or her peril and in defiance of the most elementary literary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conventions. Whatever the frame narrator or Marlow says is ironized or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suspended, presented implicitly in </w:t>
      </w:r>
      <w:proofErr w:type="spellStart"/>
      <w:r w:rsidRPr="00C254B7">
        <w:rPr>
          <w14:ligatures w14:val="standardContextual"/>
          <w14:numForm w14:val="oldStyle"/>
        </w:rPr>
        <w:t>parabasis</w:t>
      </w:r>
      <w:proofErr w:type="spellEnd"/>
      <w:r w:rsidRPr="00C254B7">
        <w:rPr>
          <w14:ligatures w14:val="standardContextual"/>
          <w14:numForm w14:val="oldStyle"/>
        </w:rPr>
        <w:t>, by being presented as the speech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of an imaginary character.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 xml:space="preserve">A second way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presents itself as literature is in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elaborate tissue of figures and other rhetorical devices that make up, so to speak,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the texture of the text. The simplest and most obvious of these devices is the use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of similes, </w:t>
      </w:r>
      <w:proofErr w:type="spellStart"/>
      <w:r w:rsidRPr="00C254B7">
        <w:rPr>
          <w14:ligatures w14:val="standardContextual"/>
          <w14:numForm w14:val="oldStyle"/>
        </w:rPr>
        <w:t>signalled</w:t>
      </w:r>
      <w:proofErr w:type="spellEnd"/>
      <w:r w:rsidRPr="00C254B7">
        <w:rPr>
          <w14:ligatures w14:val="standardContextual"/>
          <w14:numForm w14:val="oldStyle"/>
        </w:rPr>
        <w:t xml:space="preserve"> by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like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or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as.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These similes displace things that are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named by one or the other of the narrators and asserts that they are like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something else. This something else forms a consistent subtext or counterpoint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defining everything that can be seen as a veil hiding something more truthful or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essential behind. The first use of the figure of screens that are lifted to reveal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more screens behind, in a structure that is apocalyptic in the etymological sense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of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unveiling,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as well as in the sense of having to do with death, judgment,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other last things, comes when the frame narrator, describing the evening scene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just before sunset, when the sky is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a benign immensity of unstained light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(4) as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it looks from the </w:t>
      </w:r>
      <w:r w:rsidRPr="00C254B7">
        <w:rPr>
          <w:i/>
          <w:iCs/>
          <w14:ligatures w14:val="standardContextual"/>
          <w14:numForm w14:val="oldStyle"/>
        </w:rPr>
        <w:t xml:space="preserve">Nellie </w:t>
      </w:r>
      <w:r w:rsidRPr="00C254B7">
        <w:rPr>
          <w14:ligatures w14:val="standardContextual"/>
          <w14:numForm w14:val="oldStyle"/>
        </w:rPr>
        <w:t xml:space="preserve">at anchor in the Thames estuary, says: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very mist on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the Essex marshes was </w:t>
      </w:r>
      <w:r w:rsidRPr="00C254B7">
        <w:rPr>
          <w:i/>
          <w:iCs/>
          <w14:ligatures w14:val="standardContextual"/>
          <w14:numForm w14:val="oldStyle"/>
        </w:rPr>
        <w:t xml:space="preserve">like </w:t>
      </w:r>
      <w:r w:rsidRPr="00C254B7">
        <w:rPr>
          <w14:ligatures w14:val="standardContextual"/>
          <w14:numForm w14:val="oldStyle"/>
        </w:rPr>
        <w:t>[my emphasis: JHM] a gauzy and radiant fabric,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hung from the wooded rises inland, and draping the low shores in diaphanous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folds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(4). These similes, as they follow in a line punctuating the text at rhythmic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intervals, are not casual or fortuitous. They form a system, a powerful </w:t>
      </w:r>
      <w:proofErr w:type="spellStart"/>
      <w:r w:rsidRPr="00C254B7">
        <w:rPr>
          <w14:ligatures w14:val="standardContextual"/>
          <w14:numForm w14:val="oldStyle"/>
        </w:rPr>
        <w:t>undertext</w:t>
      </w:r>
      <w:proofErr w:type="spellEnd"/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beneath the first-level descriptive language. They invite the reader to see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whatever either of the </w:t>
      </w:r>
      <w:proofErr w:type="gramStart"/>
      <w:r w:rsidRPr="00C254B7">
        <w:rPr>
          <w14:ligatures w14:val="standardContextual"/>
          <w14:numForm w14:val="oldStyle"/>
        </w:rPr>
        <w:t>narrators</w:t>
      </w:r>
      <w:proofErr w:type="gramEnd"/>
      <w:r w:rsidRPr="00C254B7">
        <w:rPr>
          <w14:ligatures w14:val="standardContextual"/>
          <w14:numForm w14:val="oldStyle"/>
        </w:rPr>
        <w:t xml:space="preserve"> sees and names on the first level of narration as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 veil or screen hiding something invisible or not yet visible behind it, though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when each veil is lifted it uncovers only another veil behind it, according to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paradox essential to the genre of the apocalypse. Apocalypse: the word means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unveiling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in Greek. If one had to name the genre to which </w:t>
      </w:r>
      <w:r w:rsidRPr="00C254B7">
        <w:rPr>
          <w:i/>
          <w:iCs/>
          <w14:ligatures w14:val="standardContextual"/>
          <w14:numForm w14:val="oldStyle"/>
        </w:rPr>
        <w:t>Heart of Darkness</w:t>
      </w:r>
      <w:r w:rsidR="00007FF2" w:rsidRPr="00C254B7">
        <w:rPr>
          <w:i/>
          <w:iCs/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belongs the answer would be that it is a failed </w:t>
      </w:r>
      <w:proofErr w:type="spellStart"/>
      <w:r w:rsidRPr="00C254B7">
        <w:rPr>
          <w14:ligatures w14:val="standardContextual"/>
          <w14:numForm w14:val="oldStyle"/>
        </w:rPr>
        <w:t>apocalpyse</w:t>
      </w:r>
      <w:proofErr w:type="spellEnd"/>
      <w:r w:rsidRPr="00C254B7">
        <w:rPr>
          <w14:ligatures w14:val="standardContextual"/>
          <w14:numForm w14:val="oldStyle"/>
        </w:rPr>
        <w:t>, or, strictly speaking,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since all apocalypses ultimately fail to lift the last veil, it is just that, a member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the genre apocalypse. The film modelled on </w:t>
      </w:r>
      <w:r w:rsidRPr="00C254B7">
        <w:rPr>
          <w:i/>
          <w:iCs/>
          <w14:ligatures w14:val="standardContextual"/>
          <w14:numForm w14:val="oldStyle"/>
        </w:rPr>
        <w:t>Heart of Darkness</w:t>
      </w:r>
      <w:r w:rsidRPr="00C254B7">
        <w:rPr>
          <w14:ligatures w14:val="standardContextual"/>
          <w14:numForm w14:val="oldStyle"/>
        </w:rPr>
        <w:t xml:space="preserve">, </w:t>
      </w:r>
      <w:r w:rsidRPr="00C254B7">
        <w:rPr>
          <w:i/>
          <w:iCs/>
          <w14:ligatures w14:val="standardContextual"/>
          <w14:numForm w14:val="oldStyle"/>
        </w:rPr>
        <w:t>Apocalypse Now</w:t>
      </w:r>
      <w:r w:rsidR="00007FF2" w:rsidRPr="00C254B7">
        <w:rPr>
          <w:i/>
          <w:iCs/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was brilliantly and accurately named, except for that word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now.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Apocalypse 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never now. It is always to come, a thing of the future, both infinitely distant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immediately imminent.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In </w:t>
      </w:r>
      <w:r w:rsidRPr="00C254B7">
        <w:rPr>
          <w:i/>
          <w:iCs/>
          <w14:ligatures w14:val="standardContextual"/>
          <w14:numForm w14:val="oldStyle"/>
        </w:rPr>
        <w:t>Heart of Darkness</w:t>
      </w:r>
      <w:r w:rsidRPr="00C254B7">
        <w:rPr>
          <w14:ligatures w14:val="standardContextual"/>
          <w14:numForm w14:val="oldStyle"/>
        </w:rPr>
        <w:t>, it is, to borrow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own words, as if each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episode were like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some sordid farce acted in front of a sinister back-cloth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(13).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>The novel is structured as a long series of episodes each one of which appears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with extreme vividness before the reader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imaginary vision, brought there by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remarkable descriptive power, only to vanish and be replaced by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next, as though a figured screen had been lifted to reveal yet another figured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screen behind it, with the darkness behind all, like that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sinister back-cloth</w:t>
      </w:r>
      <w:r w:rsidR="00C254B7" w:rsidRPr="00C254B7">
        <w:rPr>
          <w14:ligatures w14:val="standardContextual"/>
          <w14:numForm w14:val="oldStyle"/>
        </w:rPr>
        <w:t>”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Marlow names.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lastRenderedPageBreak/>
        <w:t xml:space="preserve">A third distinctively literary feature of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has already been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named. The novel is ironic through and through. The reader might wish this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were not the case and deplore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radical irony, but there it is, an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indubitable fact.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is a masterwork of irony, as when the eloquent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idealism of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pamphlet on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Suppression of Savage Customs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undercut by the phrase scrawled at the bottom: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Exterminate all the brutes!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or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as the dying Africans in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grove of death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are called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helpers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in the great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work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of civilizing the continent (17).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narrative in particular 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steeped in irony throughout. The problem is that it is impossible to be certain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how to take that irony. Irony is, as Hegel and Kierkegaard said, </w:t>
      </w:r>
      <w:r w:rsidR="00C254B7" w:rsidRPr="00C254B7">
        <w:rPr>
          <w14:ligatures w14:val="standardContextual"/>
          <w14:numForm w14:val="oldStyle"/>
        </w:rPr>
        <w:t>“</w:t>
      </w:r>
      <w:proofErr w:type="gramStart"/>
      <w:r w:rsidRPr="00C254B7">
        <w:rPr>
          <w14:ligatures w14:val="standardContextual"/>
          <w14:numForm w14:val="oldStyle"/>
        </w:rPr>
        <w:t>infinite</w:t>
      </w:r>
      <w:proofErr w:type="gramEnd"/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absolute negativity,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or as Friedrich Schlegel said, a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 xml:space="preserve">permanent </w:t>
      </w:r>
      <w:proofErr w:type="spellStart"/>
      <w:r w:rsidRPr="00C254B7">
        <w:rPr>
          <w14:ligatures w14:val="standardContextual"/>
          <w14:numForm w14:val="oldStyle"/>
        </w:rPr>
        <w:t>parabasis</w:t>
      </w:r>
      <w:proofErr w:type="spellEnd"/>
      <w:r w:rsidRPr="00C254B7">
        <w:rPr>
          <w14:ligatures w14:val="standardContextual"/>
          <w14:numForm w14:val="oldStyle"/>
        </w:rPr>
        <w:t>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continuous suspension of clearly identifiable meaning. It is a principle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unintelligibility, or, in Schlegel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word, </w:t>
      </w:r>
      <w:r w:rsidR="00C254B7" w:rsidRPr="00C254B7">
        <w:rPr>
          <w14:ligatures w14:val="standardContextual"/>
          <w14:numForm w14:val="oldStyle"/>
        </w:rPr>
        <w:t>“</w:t>
      </w:r>
      <w:proofErr w:type="spellStart"/>
      <w:r w:rsidRPr="00C254B7">
        <w:rPr>
          <w14:ligatures w14:val="standardContextual"/>
          <w14:numForm w14:val="oldStyle"/>
        </w:rPr>
        <w:t>Unverständlichkeit</w:t>
      </w:r>
      <w:proofErr w:type="spellEnd"/>
      <w:r w:rsidRPr="00C254B7">
        <w:rPr>
          <w14:ligatures w14:val="standardContextual"/>
          <w14:numForm w14:val="oldStyle"/>
        </w:rPr>
        <w:t>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Irony is a constant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local feature of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narrative style, saying one thing and meaning another,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as when the Europeans at the Central Station engaged in the terrible work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imperialist conquest,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merry dance of death and trade,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are said to be, in yet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another simile, like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pilgrims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: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They wandered here and there with their absurd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long staves in their hands, like a lot of faithless pilgrims bewitched inside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rotten fence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(23). This stylistic undercutting is mimed in that larger structure in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which each episode is replaced by the next, so that each is suspended by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reader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knowledge that it is only a temporary appearance, not some ultimate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goal of revelation attained. Each is certain to vanish and be replaced by the next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scene to be enacted before that sinister black back-cloth.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 xml:space="preserve">A fourth ostentatious literary feature of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is the recurrent</w:t>
      </w:r>
      <w:r w:rsidR="00007FF2" w:rsidRPr="00C254B7">
        <w:rPr>
          <w14:ligatures w14:val="standardContextual"/>
          <w14:numForm w14:val="oldStyle"/>
        </w:rPr>
        <w:t xml:space="preserve"> </w:t>
      </w:r>
      <w:proofErr w:type="spellStart"/>
      <w:r w:rsidRPr="00C254B7">
        <w:rPr>
          <w14:ligatures w14:val="standardContextual"/>
          <w14:numForm w14:val="oldStyle"/>
        </w:rPr>
        <w:t>prosopopoeias</w:t>
      </w:r>
      <w:proofErr w:type="spellEnd"/>
      <w:r w:rsidRPr="00C254B7">
        <w:rPr>
          <w14:ligatures w14:val="standardContextual"/>
          <w14:numForm w14:val="oldStyle"/>
        </w:rPr>
        <w:t xml:space="preserve">, the personifications of the darkness (whatever </w:t>
      </w:r>
      <w:r w:rsidRPr="00C254B7">
        <w:rPr>
          <w:i/>
          <w:iCs/>
          <w14:ligatures w14:val="standardContextual"/>
          <w14:numForm w14:val="oldStyle"/>
        </w:rPr>
        <w:t xml:space="preserve">that </w:t>
      </w:r>
      <w:r w:rsidRPr="00C254B7">
        <w:rPr>
          <w14:ligatures w14:val="standardContextual"/>
          <w14:numForm w14:val="oldStyle"/>
        </w:rPr>
        <w:t>word means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here). This begins in the title. The darkness has a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heart.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</w:t>
      </w:r>
      <w:proofErr w:type="spellStart"/>
      <w:r w:rsidRPr="00C254B7">
        <w:rPr>
          <w14:ligatures w14:val="standardContextual"/>
          <w14:numForm w14:val="oldStyle"/>
        </w:rPr>
        <w:t>Prosopopoeia</w:t>
      </w:r>
      <w:proofErr w:type="spellEnd"/>
      <w:r w:rsidRPr="00C254B7">
        <w:rPr>
          <w14:ligatures w14:val="standardContextual"/>
          <w14:numForm w14:val="oldStyle"/>
        </w:rPr>
        <w:t xml:space="preserve"> is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ascription of a name, a face, or a voice to the absent, the inanimate, or the dead.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By a speech act, a </w:t>
      </w:r>
      <w:proofErr w:type="spellStart"/>
      <w:r w:rsidRPr="00C254B7">
        <w:rPr>
          <w14:ligatures w14:val="standardContextual"/>
          <w14:numForm w14:val="oldStyle"/>
        </w:rPr>
        <w:t>performative</w:t>
      </w:r>
      <w:proofErr w:type="spellEnd"/>
      <w:r w:rsidRPr="00C254B7">
        <w:rPr>
          <w14:ligatures w14:val="standardContextual"/>
          <w14:numForm w14:val="oldStyle"/>
        </w:rPr>
        <w:t xml:space="preserve"> utterance, </w:t>
      </w:r>
      <w:proofErr w:type="spellStart"/>
      <w:r w:rsidRPr="00C254B7">
        <w:rPr>
          <w14:ligatures w14:val="standardContextual"/>
          <w14:numForm w14:val="oldStyle"/>
        </w:rPr>
        <w:t>prosopopoeia</w:t>
      </w:r>
      <w:proofErr w:type="spellEnd"/>
      <w:r w:rsidRPr="00C254B7">
        <w:rPr>
          <w14:ligatures w14:val="standardContextual"/>
          <w14:numForm w14:val="oldStyle"/>
        </w:rPr>
        <w:t xml:space="preserve"> creates the fiction of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personality where in reality there is none. All </w:t>
      </w:r>
      <w:proofErr w:type="spellStart"/>
      <w:r w:rsidRPr="00C254B7">
        <w:rPr>
          <w14:ligatures w14:val="standardContextual"/>
          <w14:numForm w14:val="oldStyle"/>
        </w:rPr>
        <w:t>prosopopoeias</w:t>
      </w:r>
      <w:proofErr w:type="spellEnd"/>
      <w:r w:rsidRPr="00C254B7">
        <w:rPr>
          <w14:ligatures w14:val="standardContextual"/>
          <w14:numForm w14:val="oldStyle"/>
        </w:rPr>
        <w:t xml:space="preserve"> are also</w:t>
      </w:r>
      <w:r w:rsidR="00007FF2" w:rsidRPr="00C254B7">
        <w:rPr>
          <w14:ligatures w14:val="standardContextual"/>
          <w14:numForm w14:val="oldStyle"/>
        </w:rPr>
        <w:t xml:space="preserve"> </w:t>
      </w:r>
      <w:proofErr w:type="spellStart"/>
      <w:r w:rsidRPr="00C254B7">
        <w:rPr>
          <w14:ligatures w14:val="standardContextual"/>
          <w14:numForm w14:val="oldStyle"/>
        </w:rPr>
        <w:t>catachreses</w:t>
      </w:r>
      <w:proofErr w:type="spellEnd"/>
      <w:r w:rsidRPr="00C254B7">
        <w:rPr>
          <w14:ligatures w14:val="standardContextual"/>
          <w14:numForm w14:val="oldStyle"/>
        </w:rPr>
        <w:t>. They move the verbal fiction of a personality over to name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something unknown, unknowable, and therefore, strictly speaking, unnamable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in any literal language, something radically other than human personality: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something absent, inanimate, or dead. It is no accident that so many traditional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examples of catachresis are also personifications: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headland,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face of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mountain,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tongue of land,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table leg.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Heart of darkness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is another such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catachrestic </w:t>
      </w:r>
      <w:proofErr w:type="spellStart"/>
      <w:r w:rsidRPr="00C254B7">
        <w:rPr>
          <w14:ligatures w14:val="standardContextual"/>
          <w14:numForm w14:val="oldStyle"/>
        </w:rPr>
        <w:t>prosopopoeia</w:t>
      </w:r>
      <w:proofErr w:type="spellEnd"/>
      <w:r w:rsidRPr="00C254B7">
        <w:rPr>
          <w14:ligatures w14:val="standardContextual"/>
          <w14:numForm w14:val="oldStyle"/>
        </w:rPr>
        <w:t xml:space="preserve">, to give it its </w:t>
      </w:r>
      <w:proofErr w:type="spellStart"/>
      <w:r w:rsidRPr="00C254B7">
        <w:rPr>
          <w14:ligatures w14:val="standardContextual"/>
          <w14:numForm w14:val="oldStyle"/>
        </w:rPr>
        <w:t>barbarbarous-spounding</w:t>
      </w:r>
      <w:proofErr w:type="spellEnd"/>
      <w:r w:rsidRPr="00C254B7">
        <w:rPr>
          <w14:ligatures w14:val="standardContextual"/>
          <w14:numForm w14:val="oldStyle"/>
        </w:rPr>
        <w:t xml:space="preserve"> Greek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rhetorical name. We project our own bodies on the landscape and on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surrounding artifacts. We give the darkness a heart. In </w:t>
      </w:r>
      <w:r w:rsidRPr="00C254B7">
        <w:rPr>
          <w:i/>
          <w:iCs/>
          <w14:ligatures w14:val="standardContextual"/>
          <w14:numForm w14:val="oldStyle"/>
        </w:rPr>
        <w:t>Heart of Darkness</w:t>
      </w:r>
      <w:r w:rsidR="00007FF2" w:rsidRPr="00C254B7">
        <w:rPr>
          <w:i/>
          <w:iCs/>
          <w14:ligatures w14:val="standardContextual"/>
          <w14:numForm w14:val="oldStyle"/>
        </w:rPr>
        <w:t xml:space="preserve"> </w:t>
      </w:r>
      <w:proofErr w:type="spellStart"/>
      <w:r w:rsidRPr="00C254B7">
        <w:rPr>
          <w14:ligatures w14:val="standardContextual"/>
          <w14:numForm w14:val="oldStyle"/>
        </w:rPr>
        <w:t>prosopopoeias</w:t>
      </w:r>
      <w:proofErr w:type="spellEnd"/>
      <w:r w:rsidRPr="00C254B7">
        <w:rPr>
          <w14:ligatures w14:val="standardContextual"/>
          <w14:numForm w14:val="oldStyle"/>
        </w:rPr>
        <w:t xml:space="preserve"> are a chief means of naming by indirection what Conrad calls, in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a misleading and inadequate metaphor,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darkness,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or,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wilderness,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or,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most simply and perhaps most truthfully,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More than a dozen explicit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personifications of this something, that is not really a person, but an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asexual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or trans-sexual, impersonal, indifferent, though to Marlow it seems like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person, rhythmically punctuate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like a recurring leitmotif.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wilderness surrounding the Central Station, says Marlow,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struck me as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something great and invincible, like evil or truth, waiting patiently for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passing away of this fantastic invasion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(23). Of that silent nocturnal wilderness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Marlow asserts,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All this was great, expectant, mute, while the man [one of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agents at the station] jabbered about himself. I wondered whether the stillness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on the face of the immensity looking at us two were meant as an appeal or as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menace. . . . Could we handle that dumb thing, or would it handle us? I felt how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big, how confoundedly big, </w:t>
      </w:r>
      <w:proofErr w:type="gramStart"/>
      <w:r w:rsidRPr="00C254B7">
        <w:rPr>
          <w14:ligatures w14:val="standardContextual"/>
          <w14:numForm w14:val="oldStyle"/>
        </w:rPr>
        <w:t>was that thing that couldn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t talk and perhaps was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deaf as well</w:t>
      </w:r>
      <w:proofErr w:type="gramEnd"/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lastRenderedPageBreak/>
        <w:t xml:space="preserve">(27).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 was the stillness of an implacable force brooding over an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inscrutable intention. It looked at you with a vengeful aspect. I felt often its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mysterious stillness watching me at my monkey-tricks, just as it watches you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fellows [his listeners on the Nellie] performing on your respective tight-ropes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for--what is it? </w:t>
      </w:r>
      <w:proofErr w:type="gramStart"/>
      <w:r w:rsidRPr="00C254B7">
        <w:rPr>
          <w14:ligatures w14:val="standardContextual"/>
          <w14:numForm w14:val="oldStyle"/>
        </w:rPr>
        <w:t>half</w:t>
      </w:r>
      <w:proofErr w:type="gramEnd"/>
      <w:r w:rsidRPr="00C254B7">
        <w:rPr>
          <w14:ligatures w14:val="standardContextual"/>
          <w14:numForm w14:val="oldStyle"/>
        </w:rPr>
        <w:t xml:space="preserve"> a crown a tumble----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(34). The wilderness destroys Kurtz by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a kind of diabolical seduction: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wilderness had patted him on the head, and,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behold, it was like a ball--an ivory ball; it had caressed him, and--lo!--he had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withered; it had taken him, loved him, embraced him, got into his veins,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consumed his flesh, and sealed his soul to its own by the inconceivable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ceremonies of some devilish initiation. He was its spoiled and pampered</w:t>
      </w:r>
      <w:r w:rsidR="00007FF2" w:rsidRPr="00C254B7">
        <w:rPr>
          <w14:ligatures w14:val="standardContextual"/>
          <w14:numForm w14:val="oldStyle"/>
        </w:rPr>
        <w:t xml:space="preserve"> </w:t>
      </w:r>
      <w:proofErr w:type="spellStart"/>
      <w:r w:rsidRPr="00C254B7">
        <w:rPr>
          <w14:ligatures w14:val="standardContextual"/>
          <w14:numForm w14:val="oldStyle"/>
        </w:rPr>
        <w:t>favourite</w:t>
      </w:r>
      <w:proofErr w:type="spellEnd"/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(49). The Africans at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Inner Station vanish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without any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perceptible movement of retreat, as if the forest that had ejected these beings so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suddenly had drawn them in again as the breath is drawn in a long aspiration</w:t>
      </w:r>
      <w:r w:rsidR="00C254B7" w:rsidRPr="00C254B7">
        <w:rPr>
          <w14:ligatures w14:val="standardContextual"/>
          <w14:numForm w14:val="oldStyle"/>
        </w:rPr>
        <w:t>”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(61).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>This last citation indicates another and not unpredictable feature of the</w:t>
      </w:r>
      <w:r w:rsidR="00007FF2" w:rsidRPr="00C254B7">
        <w:rPr>
          <w14:ligatures w14:val="standardContextual"/>
          <w14:numForm w14:val="oldStyle"/>
        </w:rPr>
        <w:t xml:space="preserve"> </w:t>
      </w:r>
      <w:proofErr w:type="spellStart"/>
      <w:r w:rsidRPr="00C254B7">
        <w:rPr>
          <w14:ligatures w14:val="standardContextual"/>
          <w14:numForm w14:val="oldStyle"/>
        </w:rPr>
        <w:t>prosopopoeias</w:t>
      </w:r>
      <w:proofErr w:type="spellEnd"/>
      <w:r w:rsidRPr="00C254B7">
        <w:rPr>
          <w14:ligatures w14:val="standardContextual"/>
          <w14:numForm w14:val="oldStyle"/>
        </w:rPr>
        <w:t xml:space="preserve"> in </w:t>
      </w:r>
      <w:r w:rsidRPr="00C254B7">
        <w:rPr>
          <w:i/>
          <w:iCs/>
          <w14:ligatures w14:val="standardContextual"/>
          <w14:numForm w14:val="oldStyle"/>
        </w:rPr>
        <w:t>Heart of Darkness</w:t>
      </w:r>
      <w:r w:rsidRPr="00C254B7">
        <w:rPr>
          <w14:ligatures w14:val="standardContextual"/>
          <w14:numForm w14:val="oldStyle"/>
        </w:rPr>
        <w:t>. The personification of the wilderness 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matched by a corresponding transformation of the African people who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intervene between Marlow and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Just as, in Thomas Hardy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</w:t>
      </w:r>
      <w:r w:rsidRPr="00C254B7">
        <w:rPr>
          <w:i/>
          <w:iCs/>
          <w14:ligatures w14:val="standardContextual"/>
          <w14:numForm w14:val="oldStyle"/>
        </w:rPr>
        <w:t>The Return of</w:t>
      </w:r>
      <w:r w:rsidR="00007FF2" w:rsidRPr="00C254B7">
        <w:rPr>
          <w:i/>
          <w:iCs/>
          <w14:ligatures w14:val="standardContextual"/>
          <w14:numForm w14:val="oldStyle"/>
        </w:rPr>
        <w:t xml:space="preserve"> </w:t>
      </w:r>
      <w:r w:rsidRPr="00C254B7">
        <w:rPr>
          <w:i/>
          <w:iCs/>
          <w14:ligatures w14:val="standardContextual"/>
          <w14:numForm w14:val="oldStyle"/>
        </w:rPr>
        <w:t xml:space="preserve">the Native </w:t>
      </w:r>
      <w:r w:rsidRPr="00C254B7">
        <w:rPr>
          <w14:ligatures w14:val="standardContextual"/>
          <w14:numForm w14:val="oldStyle"/>
        </w:rPr>
        <w:t>the extravagant personification of the heath in the night time that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opens the novel leads to the assertion that </w:t>
      </w:r>
      <w:proofErr w:type="spellStart"/>
      <w:r w:rsidRPr="00C254B7">
        <w:rPr>
          <w14:ligatures w14:val="standardContextual"/>
          <w14:numForm w14:val="oldStyle"/>
        </w:rPr>
        <w:t>Eustacia</w:t>
      </w:r>
      <w:proofErr w:type="spellEnd"/>
      <w:r w:rsidRPr="00C254B7">
        <w:rPr>
          <w14:ligatures w14:val="standardContextual"/>
          <w14:numForm w14:val="oldStyle"/>
        </w:rPr>
        <w:t xml:space="preserve"> </w:t>
      </w:r>
      <w:proofErr w:type="spellStart"/>
      <w:r w:rsidRPr="00C254B7">
        <w:rPr>
          <w14:ligatures w14:val="standardContextual"/>
          <w14:numForm w14:val="oldStyle"/>
        </w:rPr>
        <w:t>Vye</w:t>
      </w:r>
      <w:proofErr w:type="spellEnd"/>
      <w:r w:rsidRPr="00C254B7">
        <w:rPr>
          <w14:ligatures w14:val="standardContextual"/>
          <w14:numForm w14:val="oldStyle"/>
        </w:rPr>
        <w:t>, who rises from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mound in the heath to stand outlined in the darkness, is, so to speak,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personification of the personification, its crystallization or visible embodiment,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so in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all the Africans Marlow meets are visible representatives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and symbols of that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Though it may be racist for Marlow (not necessarily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Conrad, the reader should remember) to see the Africans as an inscrutably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other,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as simple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savages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or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primitives,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when their culture is older than any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European one and as complex or sophisticated, if not more so, this otherness 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stressed for the primary purpose of making the Africans visible </w:t>
      </w:r>
      <w:proofErr w:type="spellStart"/>
      <w:r w:rsidRPr="00C254B7">
        <w:rPr>
          <w14:ligatures w14:val="standardContextual"/>
          <w14:numForm w14:val="oldStyle"/>
        </w:rPr>
        <w:t>embodments</w:t>
      </w:r>
      <w:proofErr w:type="spellEnd"/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and proofs that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the darkness, is a person. This is an underlying feature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of all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</w:t>
      </w:r>
      <w:proofErr w:type="spellStart"/>
      <w:r w:rsidRPr="00C254B7">
        <w:rPr>
          <w14:ligatures w14:val="standardContextual"/>
          <w14:numForm w14:val="oldStyle"/>
        </w:rPr>
        <w:t>prosopopoeias</w:t>
      </w:r>
      <w:proofErr w:type="spellEnd"/>
      <w:r w:rsidRPr="00C254B7">
        <w:rPr>
          <w14:ligatures w14:val="standardContextual"/>
          <w14:numForm w14:val="oldStyle"/>
        </w:rPr>
        <w:t>, but it is made most explicit in the scene where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African mistress appears on the shore: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She was savage and superb,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wild-eyed and magnificent; there was something ominous and stately in her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deliberate progress. And in the hush that had fallen suddenly upon the whole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sorrowful land, the immense wilderness, the colossal body of the fecund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mysterious life seemed to look at her, pensive, as though it had been looking 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the image of its own tenebrous and passionate soul. . . . She stood looking at us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without a stir, and like the wilderness itself, with an air of brooding over an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inscrutable purpose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(62).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>This passage, like the one describing the way the wilderness has seduced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Kurtz, seems to indicate that this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is after all gendered, that it is female,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colossal body of fecund and mysterious life. Since the wilderness is supposed to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represent a mysterious knowledge,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like evil or truth,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this personification does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not jibe very well with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sexist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assertions Marlow makes about the way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women in general are, like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Intended,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out of it,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invincibly innocent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ignorant. At the least one would have to say that two contradictory sexist myths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about women are ascribed to Marlow, the European male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tendency to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personify the earth as a great mother, full of an immemorial, seductive wisdom,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and the European male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tendency to condescend to women as innately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incapable of seeing into things as well as men can.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 xml:space="preserve">All four of these stylistic features constitute a demand that </w:t>
      </w:r>
      <w:r w:rsidRPr="00C254B7">
        <w:rPr>
          <w:i/>
          <w:iCs/>
          <w14:ligatures w14:val="standardContextual"/>
          <w14:numForm w14:val="oldStyle"/>
        </w:rPr>
        <w:t>Heart of</w:t>
      </w:r>
      <w:r w:rsidR="00007FF2" w:rsidRPr="00C254B7">
        <w:rPr>
          <w:i/>
          <w:iCs/>
          <w14:ligatures w14:val="standardContextual"/>
          <w14:numForm w14:val="oldStyle"/>
        </w:rPr>
        <w:t xml:space="preserve"> </w:t>
      </w:r>
      <w:r w:rsidRPr="00C254B7">
        <w:rPr>
          <w:i/>
          <w:iCs/>
          <w14:ligatures w14:val="standardContextual"/>
          <w14:numForm w14:val="oldStyle"/>
        </w:rPr>
        <w:t xml:space="preserve">Darkness </w:t>
      </w:r>
      <w:r w:rsidRPr="00C254B7">
        <w:rPr>
          <w14:ligatures w14:val="standardContextual"/>
          <w14:numForm w14:val="oldStyle"/>
        </w:rPr>
        <w:t xml:space="preserve">be </w:t>
      </w:r>
      <w:r w:rsidRPr="00C254B7">
        <w:rPr>
          <w:i/>
          <w:iCs/>
          <w14:ligatures w14:val="standardContextual"/>
          <w14:numForm w14:val="oldStyle"/>
        </w:rPr>
        <w:t>read</w:t>
      </w:r>
      <w:r w:rsidRPr="00C254B7">
        <w:rPr>
          <w14:ligatures w14:val="standardContextual"/>
          <w14:numForm w14:val="oldStyle"/>
        </w:rPr>
        <w:t>, read as literature, as opposed to being taken as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straightforwardly mimetic or referential work that would allow the reader to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hold Conrad himself directly responsible for what is said as though he </w:t>
      </w:r>
      <w:r w:rsidRPr="00C254B7">
        <w:rPr>
          <w14:ligatures w14:val="standardContextual"/>
          <w14:numForm w14:val="oldStyle"/>
        </w:rPr>
        <w:lastRenderedPageBreak/>
        <w:t>were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journalist or a travel writer. Of course any of these features can be used in a nonliterary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work, but taken all together they invite the reader to declare,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This 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literature.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In the name of just what higher responsibility does Conrad justify all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this indirection and ironic undercutting, suspending, or redirecting of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straightforwardly mimetic aspect of his novel? In the name of what higher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obligation is everything that is referentially named in a pseudo-historical or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mimetic way displaced by these ubiquitous rhetorical devices and made into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sign for something else? If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is a literary work rather than history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or autobiography, just what kind of literary work is it, just what kind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apocalypse? What lies behind that veil? The frame narrator, in a passage often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cited and commented on, gives the reader a precious clue to an answer to these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questions, though it is left to the reader to make use of the clue in his or her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reading:</w:t>
      </w:r>
    </w:p>
    <w:p w:rsidR="00903E59" w:rsidRPr="00C254B7" w:rsidRDefault="00C254B7" w:rsidP="00C254B7">
      <w:pPr>
        <w:ind w:left="360" w:right="360"/>
        <w:rPr>
          <w:rFonts w:asciiTheme="majorHAnsi" w:hAnsiTheme="majorHAnsi"/>
          <w:sz w:val="22"/>
          <w14:ligatures w14:val="standardContextual"/>
          <w14:numForm w14:val="oldStyle"/>
        </w:rPr>
      </w:pPr>
      <w:r w:rsidRPr="00C254B7">
        <w:rPr>
          <w:rFonts w:asciiTheme="majorHAnsi" w:hAnsiTheme="majorHAnsi"/>
          <w:sz w:val="22"/>
          <w14:ligatures w14:val="standardContextual"/>
          <w14:numForm w14:val="oldStyle"/>
        </w:rPr>
        <w:t>“</w:t>
      </w:r>
      <w:r w:rsidR="00903E59" w:rsidRPr="00C254B7">
        <w:rPr>
          <w:rFonts w:asciiTheme="majorHAnsi" w:hAnsiTheme="majorHAnsi"/>
          <w:sz w:val="22"/>
          <w14:ligatures w14:val="standardContextual"/>
          <w14:numForm w14:val="oldStyle"/>
        </w:rPr>
        <w:t>The yarns of seamen have a direct simplicity, the whole meaning of</w:t>
      </w:r>
      <w:r w:rsidR="00007FF2" w:rsidRPr="00C254B7">
        <w:rPr>
          <w:rFonts w:asciiTheme="majorHAnsi" w:hAnsiTheme="majorHAnsi"/>
          <w:sz w:val="22"/>
          <w14:ligatures w14:val="standardContextual"/>
          <w14:numForm w14:val="oldStyle"/>
        </w:rPr>
        <w:t xml:space="preserve"> </w:t>
      </w:r>
      <w:r w:rsidR="00903E59" w:rsidRPr="00C254B7">
        <w:rPr>
          <w:rFonts w:asciiTheme="majorHAnsi" w:hAnsiTheme="majorHAnsi"/>
          <w:sz w:val="22"/>
          <w14:ligatures w14:val="standardContextual"/>
          <w14:numForm w14:val="oldStyle"/>
        </w:rPr>
        <w:t>which lies within the shell of a cracked nut. But Marlow was not</w:t>
      </w:r>
      <w:r w:rsidR="00007FF2" w:rsidRPr="00C254B7">
        <w:rPr>
          <w:rFonts w:asciiTheme="majorHAnsi" w:hAnsiTheme="majorHAnsi"/>
          <w:sz w:val="22"/>
          <w14:ligatures w14:val="standardContextual"/>
          <w14:numForm w14:val="oldStyle"/>
        </w:rPr>
        <w:t xml:space="preserve"> </w:t>
      </w:r>
      <w:r w:rsidR="00903E59" w:rsidRPr="00C254B7">
        <w:rPr>
          <w:rFonts w:asciiTheme="majorHAnsi" w:hAnsiTheme="majorHAnsi"/>
          <w:sz w:val="22"/>
          <w14:ligatures w14:val="standardContextual"/>
          <w14:numForm w14:val="oldStyle"/>
        </w:rPr>
        <w:t>typical (if his propensity to spin yarns be excepted), and to him the</w:t>
      </w:r>
      <w:r w:rsidR="00007FF2" w:rsidRPr="00C254B7">
        <w:rPr>
          <w:rFonts w:asciiTheme="majorHAnsi" w:hAnsiTheme="majorHAnsi"/>
          <w:sz w:val="22"/>
          <w14:ligatures w14:val="standardContextual"/>
          <w14:numForm w14:val="oldStyle"/>
        </w:rPr>
        <w:t xml:space="preserve"> </w:t>
      </w:r>
      <w:r w:rsidR="00903E59" w:rsidRPr="00C254B7">
        <w:rPr>
          <w:rFonts w:asciiTheme="majorHAnsi" w:hAnsiTheme="majorHAnsi"/>
          <w:sz w:val="22"/>
          <w14:ligatures w14:val="standardContextual"/>
          <w14:numForm w14:val="oldStyle"/>
        </w:rPr>
        <w:t>meaning of an episode was not inside like a kernel but outside [the</w:t>
      </w:r>
      <w:r w:rsidR="00007FF2" w:rsidRPr="00C254B7">
        <w:rPr>
          <w:rFonts w:asciiTheme="majorHAnsi" w:hAnsiTheme="majorHAnsi"/>
          <w:sz w:val="22"/>
          <w14:ligatures w14:val="standardContextual"/>
          <w14:numForm w14:val="oldStyle"/>
        </w:rPr>
        <w:t xml:space="preserve"> </w:t>
      </w:r>
      <w:proofErr w:type="spellStart"/>
      <w:r w:rsidR="00903E59" w:rsidRPr="00C254B7">
        <w:rPr>
          <w:rFonts w:asciiTheme="majorHAnsi" w:hAnsiTheme="majorHAnsi"/>
          <w:sz w:val="22"/>
          <w14:ligatures w14:val="standardContextual"/>
          <w14:numForm w14:val="oldStyle"/>
        </w:rPr>
        <w:t>Ms</w:t>
      </w:r>
      <w:proofErr w:type="spellEnd"/>
      <w:r w:rsidR="00903E59" w:rsidRPr="00C254B7">
        <w:rPr>
          <w:rFonts w:asciiTheme="majorHAnsi" w:hAnsiTheme="majorHAnsi"/>
          <w:sz w:val="22"/>
          <w14:ligatures w14:val="standardContextual"/>
          <w14:numForm w14:val="oldStyle"/>
        </w:rPr>
        <w:t xml:space="preserve"> has </w:t>
      </w:r>
      <w:r w:rsidRPr="00C254B7">
        <w:rPr>
          <w:rFonts w:asciiTheme="majorHAnsi" w:hAnsiTheme="majorHAnsi"/>
          <w:sz w:val="22"/>
          <w14:ligatures w14:val="standardContextual"/>
          <w14:numForm w14:val="oldStyle"/>
        </w:rPr>
        <w:t>“</w:t>
      </w:r>
      <w:r w:rsidR="00903E59" w:rsidRPr="00C254B7">
        <w:rPr>
          <w:rFonts w:asciiTheme="majorHAnsi" w:hAnsiTheme="majorHAnsi"/>
          <w:sz w:val="22"/>
          <w14:ligatures w14:val="standardContextual"/>
          <w14:numForm w14:val="oldStyle"/>
        </w:rPr>
        <w:t>outside in the unseen</w:t>
      </w:r>
      <w:r w:rsidRPr="00C254B7">
        <w:rPr>
          <w:rFonts w:asciiTheme="majorHAnsi" w:hAnsiTheme="majorHAnsi"/>
          <w:sz w:val="22"/>
          <w14:ligatures w14:val="standardContextual"/>
          <w14:numForm w14:val="oldStyle"/>
        </w:rPr>
        <w:t>”</w:t>
      </w:r>
      <w:r w:rsidR="00903E59" w:rsidRPr="00C254B7">
        <w:rPr>
          <w:rFonts w:asciiTheme="majorHAnsi" w:hAnsiTheme="majorHAnsi"/>
          <w:sz w:val="22"/>
          <w14:ligatures w14:val="standardContextual"/>
          <w14:numForm w14:val="oldStyle"/>
        </w:rPr>
        <w:t>], enveloping the tale which brought it</w:t>
      </w:r>
      <w:r w:rsidR="00007FF2" w:rsidRPr="00C254B7">
        <w:rPr>
          <w:rFonts w:asciiTheme="majorHAnsi" w:hAnsiTheme="majorHAnsi"/>
          <w:sz w:val="22"/>
          <w14:ligatures w14:val="standardContextual"/>
          <w14:numForm w14:val="oldStyle"/>
        </w:rPr>
        <w:t xml:space="preserve"> </w:t>
      </w:r>
      <w:r w:rsidR="00903E59" w:rsidRPr="00C254B7">
        <w:rPr>
          <w:rFonts w:asciiTheme="majorHAnsi" w:hAnsiTheme="majorHAnsi"/>
          <w:sz w:val="22"/>
          <w14:ligatures w14:val="standardContextual"/>
          <w14:numForm w14:val="oldStyle"/>
        </w:rPr>
        <w:t>out only as a glow brings out a haze, in the likeness of one of those</w:t>
      </w:r>
      <w:r w:rsidR="00007FF2" w:rsidRPr="00C254B7">
        <w:rPr>
          <w:rFonts w:asciiTheme="majorHAnsi" w:hAnsiTheme="majorHAnsi"/>
          <w:sz w:val="22"/>
          <w14:ligatures w14:val="standardContextual"/>
          <w14:numForm w14:val="oldStyle"/>
        </w:rPr>
        <w:t xml:space="preserve"> </w:t>
      </w:r>
      <w:r w:rsidR="00903E59" w:rsidRPr="00C254B7">
        <w:rPr>
          <w:rFonts w:asciiTheme="majorHAnsi" w:hAnsiTheme="majorHAnsi"/>
          <w:sz w:val="22"/>
          <w14:ligatures w14:val="standardContextual"/>
          <w14:numForm w14:val="oldStyle"/>
        </w:rPr>
        <w:t>misty halos that sometimes are made visible by the spectral</w:t>
      </w:r>
      <w:r w:rsidR="00007FF2" w:rsidRPr="00C254B7">
        <w:rPr>
          <w:rFonts w:asciiTheme="majorHAnsi" w:hAnsiTheme="majorHAnsi"/>
          <w:sz w:val="22"/>
          <w14:ligatures w14:val="standardContextual"/>
          <w14:numForm w14:val="oldStyle"/>
        </w:rPr>
        <w:t xml:space="preserve"> </w:t>
      </w:r>
      <w:r w:rsidR="00903E59" w:rsidRPr="00C254B7">
        <w:rPr>
          <w:rFonts w:asciiTheme="majorHAnsi" w:hAnsiTheme="majorHAnsi"/>
          <w:sz w:val="22"/>
          <w14:ligatures w14:val="standardContextual"/>
          <w14:numForm w14:val="oldStyle"/>
        </w:rPr>
        <w:t>illumination of moonshine.</w:t>
      </w:r>
      <w:r w:rsidRPr="00C254B7">
        <w:rPr>
          <w:rFonts w:asciiTheme="majorHAnsi" w:hAnsiTheme="majorHAnsi"/>
          <w:sz w:val="22"/>
          <w14:ligatures w14:val="standardContextual"/>
          <w14:numForm w14:val="oldStyle"/>
        </w:rPr>
        <w:t>”</w:t>
      </w:r>
      <w:r w:rsidR="00903E59" w:rsidRPr="00C254B7">
        <w:rPr>
          <w:rFonts w:asciiTheme="majorHAnsi" w:hAnsiTheme="majorHAnsi"/>
          <w:sz w:val="22"/>
          <w14:ligatures w14:val="standardContextual"/>
          <w14:numForm w14:val="oldStyle"/>
        </w:rPr>
        <w:t xml:space="preserve"> (5)</w:t>
      </w:r>
    </w:p>
    <w:p w:rsidR="00903E59" w:rsidRPr="00C254B7" w:rsidRDefault="00C254B7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>“</w:t>
      </w:r>
      <w:r w:rsidR="00903E59" w:rsidRPr="00C254B7">
        <w:rPr>
          <w14:ligatures w14:val="standardContextual"/>
          <w14:numForm w14:val="oldStyle"/>
        </w:rPr>
        <w:t>To spin yarns</w:t>
      </w:r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is a cliché for narration. To tell a story is to join many threads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together to make a continuous line leading from here to there. Of that yarn cloth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may be woven, the whole cloth of the truth as opposed to a lie that, as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proverbial saying has it, is </w:t>
      </w:r>
      <w:r w:rsidRPr="00C254B7">
        <w:rPr>
          <w14:ligatures w14:val="standardContextual"/>
          <w14:numForm w14:val="oldStyle"/>
        </w:rPr>
        <w:t>“</w:t>
      </w:r>
      <w:r w:rsidR="00903E59" w:rsidRPr="00C254B7">
        <w:rPr>
          <w14:ligatures w14:val="standardContextual"/>
          <w14:numForm w14:val="oldStyle"/>
        </w:rPr>
        <w:t>made up out of whole cloth,</w:t>
      </w:r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a cloth making a web,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screen, or veil covering the truth that remains hidden behind or within. This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inside/outside opposition governs the narrator</w:t>
      </w:r>
      <w:r w:rsidRPr="00C254B7">
        <w:rPr>
          <w14:ligatures w14:val="standardContextual"/>
          <w14:numForm w14:val="oldStyle"/>
        </w:rPr>
        <w:t>’</w:t>
      </w:r>
      <w:r w:rsidR="00903E59" w:rsidRPr="00C254B7">
        <w:rPr>
          <w14:ligatures w14:val="standardContextual"/>
          <w14:numForm w14:val="oldStyle"/>
        </w:rPr>
        <w:t>s distinction between two kinds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of tales. The first is the sort of seaman</w:t>
      </w:r>
      <w:r w:rsidRPr="00C254B7">
        <w:rPr>
          <w14:ligatures w14:val="standardContextual"/>
          <w14:numForm w14:val="oldStyle"/>
        </w:rPr>
        <w:t>’</w:t>
      </w:r>
      <w:r w:rsidR="00903E59" w:rsidRPr="00C254B7">
        <w:rPr>
          <w14:ligatures w14:val="standardContextual"/>
          <w14:numForm w14:val="oldStyle"/>
        </w:rPr>
        <w:t xml:space="preserve">s yarn it was assumed by many </w:t>
      </w:r>
      <w:proofErr w:type="gramStart"/>
      <w:r w:rsidR="00903E59" w:rsidRPr="00C254B7">
        <w:rPr>
          <w14:ligatures w14:val="standardContextual"/>
          <w14:numForm w14:val="oldStyle"/>
        </w:rPr>
        <w:t>reader</w:t>
      </w:r>
      <w:r w:rsidRPr="00C254B7">
        <w:rPr>
          <w14:ligatures w14:val="standardContextual"/>
          <w14:numForm w14:val="oldStyle"/>
        </w:rPr>
        <w:t>’</w:t>
      </w:r>
      <w:r w:rsidR="00903E59" w:rsidRPr="00C254B7">
        <w:rPr>
          <w14:ligatures w14:val="standardContextual"/>
          <w14:numForm w14:val="oldStyle"/>
        </w:rPr>
        <w:t>s</w:t>
      </w:r>
      <w:proofErr w:type="gramEnd"/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and critics Conrad was telling in his stories and novels. Its meaning lies within,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like the shell of a cracked nut. I take it this names a realistic, mimetic, referential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tale with an obvious point and moral. Marlow</w:t>
      </w:r>
      <w:r w:rsidRPr="00C254B7">
        <w:rPr>
          <w14:ligatures w14:val="standardContextual"/>
          <w14:numForm w14:val="oldStyle"/>
        </w:rPr>
        <w:t>’</w:t>
      </w:r>
      <w:r w:rsidR="00903E59" w:rsidRPr="00C254B7">
        <w:rPr>
          <w14:ligatures w14:val="standardContextual"/>
          <w14:numForm w14:val="oldStyle"/>
        </w:rPr>
        <w:t>s tales, on the other hand, and, by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implication at least, this one by Conrad, since so much of it is made up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Marlow</w:t>
      </w:r>
      <w:r w:rsidRPr="00C254B7">
        <w:rPr>
          <w14:ligatures w14:val="standardContextual"/>
          <w14:numForm w14:val="oldStyle"/>
        </w:rPr>
        <w:t>’</w:t>
      </w:r>
      <w:r w:rsidR="00903E59" w:rsidRPr="00C254B7">
        <w:rPr>
          <w14:ligatures w14:val="standardContextual"/>
          <w14:numForm w14:val="oldStyle"/>
        </w:rPr>
        <w:t>s narration, have a different way of making meaning. All the visible,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representational elements, all that the tale makes you </w:t>
      </w:r>
      <w:r w:rsidR="00903E59" w:rsidRPr="00C254B7">
        <w:rPr>
          <w:i/>
          <w:iCs/>
          <w14:ligatures w14:val="standardContextual"/>
          <w14:numForm w14:val="oldStyle"/>
        </w:rPr>
        <w:t>see</w:t>
      </w:r>
      <w:r w:rsidR="00903E59" w:rsidRPr="00C254B7">
        <w:rPr>
          <w14:ligatures w14:val="standardContextual"/>
          <w14:numForm w14:val="oldStyle"/>
        </w:rPr>
        <w:t>, according to that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famous claim by Conrad that his goal was </w:t>
      </w:r>
      <w:r w:rsidRPr="00C254B7">
        <w:rPr>
          <w14:ligatures w14:val="standardContextual"/>
          <w14:numForm w14:val="oldStyle"/>
        </w:rPr>
        <w:t>“</w:t>
      </w:r>
      <w:r w:rsidR="00903E59" w:rsidRPr="00C254B7">
        <w:rPr>
          <w14:ligatures w14:val="standardContextual"/>
          <w14:numForm w14:val="oldStyle"/>
        </w:rPr>
        <w:t xml:space="preserve">above all to make you </w:t>
      </w:r>
      <w:r w:rsidR="00903E59" w:rsidRPr="00C254B7">
        <w:rPr>
          <w:i/>
          <w:iCs/>
          <w14:ligatures w14:val="standardContextual"/>
          <w14:numForm w14:val="oldStyle"/>
        </w:rPr>
        <w:t>see</w:t>
      </w:r>
      <w:r w:rsidR="00903E59" w:rsidRPr="00C254B7">
        <w:rPr>
          <w14:ligatures w14:val="standardContextual"/>
          <w14:numForm w14:val="oldStyle"/>
        </w:rPr>
        <w:t>,</w:t>
      </w:r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are there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not for their own sakes, as mimetically valuable and verifiable, for example for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the sake of giving the reader information about imperialism in the Belgian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Congo. Those elements have as their function to make something else visible,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what the manuscript calls the </w:t>
      </w:r>
      <w:r w:rsidRPr="00C254B7">
        <w:rPr>
          <w14:ligatures w14:val="standardContextual"/>
          <w14:numForm w14:val="oldStyle"/>
        </w:rPr>
        <w:t>“</w:t>
      </w:r>
      <w:r w:rsidR="00903E59" w:rsidRPr="00C254B7">
        <w:rPr>
          <w14:ligatures w14:val="standardContextual"/>
          <w14:numForm w14:val="oldStyle"/>
        </w:rPr>
        <w:t>unseen,</w:t>
      </w:r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perhaps even the </w:t>
      </w:r>
      <w:proofErr w:type="spellStart"/>
      <w:r w:rsidR="00903E59" w:rsidRPr="00C254B7">
        <w:rPr>
          <w14:ligatures w14:val="standardContextual"/>
          <w14:numForm w14:val="oldStyle"/>
        </w:rPr>
        <w:t>unseeable</w:t>
      </w:r>
      <w:proofErr w:type="spellEnd"/>
      <w:r w:rsidR="00903E59" w:rsidRPr="00C254B7">
        <w:rPr>
          <w14:ligatures w14:val="standardContextual"/>
          <w14:numForm w14:val="oldStyle"/>
        </w:rPr>
        <w:t>, as the dark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matter of the universe or the putative black holes at the center of galaxies can in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principle never be seen, only inferred. Conrad</w:t>
      </w:r>
      <w:r w:rsidRPr="00C254B7">
        <w:rPr>
          <w14:ligatures w14:val="standardContextual"/>
          <w14:numForm w14:val="oldStyle"/>
        </w:rPr>
        <w:t>’</w:t>
      </w:r>
      <w:r w:rsidR="00903E59" w:rsidRPr="00C254B7">
        <w:rPr>
          <w14:ligatures w14:val="standardContextual"/>
          <w14:numForm w14:val="oldStyle"/>
        </w:rPr>
        <w:t>s figure is a different one from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those black holes about which he could not have known, though it is still an</w:t>
      </w:r>
      <w:r w:rsidR="00007FF2" w:rsidRPr="00C254B7">
        <w:rPr>
          <w14:ligatures w14:val="standardContextual"/>
          <w14:numForm w14:val="oldStyle"/>
        </w:rPr>
        <w:t xml:space="preserve"> </w:t>
      </w:r>
      <w:proofErr w:type="spellStart"/>
      <w:r w:rsidR="00903E59" w:rsidRPr="00C254B7">
        <w:rPr>
          <w14:ligatures w14:val="standardContextual"/>
          <w14:numForm w14:val="oldStyle"/>
        </w:rPr>
        <w:t>astrononomical</w:t>
      </w:r>
      <w:proofErr w:type="spellEnd"/>
      <w:r w:rsidR="00903E59" w:rsidRPr="00C254B7">
        <w:rPr>
          <w14:ligatures w14:val="standardContextual"/>
          <w14:numForm w14:val="oldStyle"/>
        </w:rPr>
        <w:t xml:space="preserve"> trope. It is an example of that peculiar sort of figure that can be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called a figure of figure or a figure of figuration. Just as the mist on a dark night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is invisible except when it is made visible as a circular halo around moonlight,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light already secondary and reflected from the sun, and just as the mimetic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elements of Marlow</w:t>
      </w:r>
      <w:r w:rsidRPr="00C254B7">
        <w:rPr>
          <w14:ligatures w14:val="standardContextual"/>
          <w14:numForm w14:val="oldStyle"/>
        </w:rPr>
        <w:t>’</w:t>
      </w:r>
      <w:r w:rsidR="00903E59" w:rsidRPr="00C254B7">
        <w:rPr>
          <w14:ligatures w14:val="standardContextual"/>
          <w14:numForm w14:val="oldStyle"/>
        </w:rPr>
        <w:t>s tale are secondary to the real things they represent at one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remove, so the meaning of Marlow</w:t>
      </w:r>
      <w:r w:rsidRPr="00C254B7">
        <w:rPr>
          <w14:ligatures w14:val="standardContextual"/>
          <w14:numForm w14:val="oldStyle"/>
        </w:rPr>
        <w:t>’</w:t>
      </w:r>
      <w:r w:rsidR="00903E59" w:rsidRPr="00C254B7">
        <w:rPr>
          <w14:ligatures w14:val="standardContextual"/>
          <w14:numForm w14:val="oldStyle"/>
        </w:rPr>
        <w:t>s yarns is invisible in itself and never named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in itself. It is not inside the tale but outside, </w:t>
      </w:r>
      <w:r w:rsidRPr="00C254B7">
        <w:rPr>
          <w14:ligatures w14:val="standardContextual"/>
          <w14:numForm w14:val="oldStyle"/>
        </w:rPr>
        <w:t>“</w:t>
      </w:r>
      <w:r w:rsidR="00903E59" w:rsidRPr="00C254B7">
        <w:rPr>
          <w14:ligatures w14:val="standardContextual"/>
          <w14:numForm w14:val="oldStyle"/>
        </w:rPr>
        <w:t>brought out</w:t>
      </w:r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indirectly by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things that are named and recounted, thereby made visible, just as, for example,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Marlow when he visits the Intended hears Kurtz</w:t>
      </w:r>
      <w:r w:rsidRPr="00C254B7">
        <w:rPr>
          <w14:ligatures w14:val="standardContextual"/>
          <w14:numForm w14:val="oldStyle"/>
        </w:rPr>
        <w:t>’</w:t>
      </w:r>
      <w:r w:rsidR="00903E59" w:rsidRPr="00C254B7">
        <w:rPr>
          <w14:ligatures w14:val="standardContextual"/>
          <w14:numForm w14:val="oldStyle"/>
        </w:rPr>
        <w:t>s last words breathed in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whisper by the dusk: </w:t>
      </w:r>
      <w:r w:rsidRPr="00C254B7">
        <w:rPr>
          <w14:ligatures w14:val="standardContextual"/>
          <w14:numForm w14:val="oldStyle"/>
        </w:rPr>
        <w:t>“</w:t>
      </w:r>
      <w:r w:rsidR="00903E59" w:rsidRPr="00C254B7">
        <w:rPr>
          <w14:ligatures w14:val="standardContextual"/>
          <w14:numForm w14:val="oldStyle"/>
        </w:rPr>
        <w:t>The dusk was repeating them in a persistent whisper all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around us, in a whisper that seemed to swell menacingly like the first </w:t>
      </w:r>
      <w:r w:rsidR="00903E59" w:rsidRPr="00C254B7">
        <w:rPr>
          <w14:ligatures w14:val="standardContextual"/>
          <w14:numForm w14:val="oldStyle"/>
        </w:rPr>
        <w:lastRenderedPageBreak/>
        <w:t>whisper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a rising wind. </w:t>
      </w:r>
      <w:r w:rsidRPr="00C254B7">
        <w:rPr>
          <w14:ligatures w14:val="standardContextual"/>
          <w14:numForm w14:val="oldStyle"/>
        </w:rPr>
        <w:t>‘</w:t>
      </w:r>
      <w:r w:rsidR="00903E59" w:rsidRPr="00C254B7">
        <w:rPr>
          <w14:ligatures w14:val="standardContextual"/>
          <w14:numForm w14:val="oldStyle"/>
        </w:rPr>
        <w:t>The horror! The horror!</w:t>
      </w:r>
      <w:r w:rsidRPr="00C254B7">
        <w:rPr>
          <w14:ligatures w14:val="standardContextual"/>
          <w14:numForm w14:val="oldStyle"/>
        </w:rPr>
        <w:t>’“</w:t>
      </w:r>
      <w:r w:rsidR="00903E59" w:rsidRPr="00C254B7">
        <w:rPr>
          <w14:ligatures w14:val="standardContextual"/>
          <w14:numForm w14:val="oldStyle"/>
        </w:rPr>
        <w:t xml:space="preserve"> (79). The reader will note the way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whispered sound is onomatopoeically echoed here in the repetition three times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of the word </w:t>
      </w:r>
      <w:r w:rsidRPr="00C254B7">
        <w:rPr>
          <w14:ligatures w14:val="standardContextual"/>
          <w14:numForm w14:val="oldStyle"/>
        </w:rPr>
        <w:t>“</w:t>
      </w:r>
      <w:r w:rsidR="00903E59" w:rsidRPr="00C254B7">
        <w:rPr>
          <w14:ligatures w14:val="standardContextual"/>
          <w14:numForm w14:val="oldStyle"/>
        </w:rPr>
        <w:t>whisper,</w:t>
      </w:r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with its aspirant and </w:t>
      </w:r>
      <w:proofErr w:type="spellStart"/>
      <w:r w:rsidR="00903E59" w:rsidRPr="00C254B7">
        <w:rPr>
          <w14:ligatures w14:val="standardContextual"/>
          <w14:numForm w14:val="oldStyle"/>
        </w:rPr>
        <w:t>sibbilant</w:t>
      </w:r>
      <w:proofErr w:type="spellEnd"/>
      <w:r w:rsidR="00903E59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“</w:t>
      </w:r>
      <w:proofErr w:type="spellStart"/>
      <w:r w:rsidR="00903E59" w:rsidRPr="00C254B7">
        <w:rPr>
          <w14:ligatures w14:val="standardContextual"/>
          <w14:numForm w14:val="oldStyle"/>
        </w:rPr>
        <w:t>whuh</w:t>
      </w:r>
      <w:proofErr w:type="spellEnd"/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and </w:t>
      </w:r>
      <w:r w:rsidRPr="00C254B7">
        <w:rPr>
          <w14:ligatures w14:val="standardContextual"/>
          <w14:numForm w14:val="oldStyle"/>
        </w:rPr>
        <w:t>“</w:t>
      </w:r>
      <w:proofErr w:type="spellStart"/>
      <w:r w:rsidR="00903E59" w:rsidRPr="00C254B7">
        <w:rPr>
          <w14:ligatures w14:val="standardContextual"/>
          <w14:numForm w14:val="oldStyle"/>
        </w:rPr>
        <w:t>isp</w:t>
      </w:r>
      <w:proofErr w:type="spellEnd"/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sounds.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The illumination provided by the tale is </w:t>
      </w:r>
      <w:r w:rsidRPr="00C254B7">
        <w:rPr>
          <w14:ligatures w14:val="standardContextual"/>
          <w14:numForm w14:val="oldStyle"/>
        </w:rPr>
        <w:t>“</w:t>
      </w:r>
      <w:r w:rsidR="00903E59" w:rsidRPr="00C254B7">
        <w:rPr>
          <w14:ligatures w14:val="standardContextual"/>
          <w14:numForm w14:val="oldStyle"/>
        </w:rPr>
        <w:t>spectral.</w:t>
      </w:r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It turns everything into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ghostly phantom, that is, into something that is a revenant, something that has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come back from the dead, and that cannot die, that will always, sooner or later,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just when we least expect it, come again. The miniature lesson in aesthetic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theory the frame narrator presents here is an admirably succinct distinction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between mimetic literature and apocalyptic, parabolic, or allegorical literature.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In the latter everything named, with however much verisimilitude, stands for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something else that is not named directly, that cannot be named directly, that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can only be inferred by those that have eyes to see and ears to hear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understand, as Jesus puts it in the parable of the sower in Matthew 13. All these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genres have to do with the promise, with death, with the truly secret, and with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last things, </w:t>
      </w:r>
      <w:r w:rsidRPr="00C254B7">
        <w:rPr>
          <w14:ligatures w14:val="standardContextual"/>
          <w14:numForm w14:val="oldStyle"/>
        </w:rPr>
        <w:t>“</w:t>
      </w:r>
      <w:r w:rsidR="00903E59" w:rsidRPr="00C254B7">
        <w:rPr>
          <w14:ligatures w14:val="standardContextual"/>
          <w14:numForm w14:val="oldStyle"/>
        </w:rPr>
        <w:t>things,</w:t>
      </w:r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as Jesus says, </w:t>
      </w:r>
      <w:r w:rsidRPr="00C254B7">
        <w:rPr>
          <w14:ligatures w14:val="standardContextual"/>
          <w14:numForm w14:val="oldStyle"/>
        </w:rPr>
        <w:t>“</w:t>
      </w:r>
      <w:proofErr w:type="gramStart"/>
      <w:r w:rsidR="00903E59" w:rsidRPr="00C254B7">
        <w:rPr>
          <w14:ligatures w14:val="standardContextual"/>
          <w14:numForm w14:val="oldStyle"/>
        </w:rPr>
        <w:t>which</w:t>
      </w:r>
      <w:proofErr w:type="gramEnd"/>
      <w:r w:rsidR="00903E59" w:rsidRPr="00C254B7">
        <w:rPr>
          <w14:ligatures w14:val="standardContextual"/>
          <w14:numForm w14:val="oldStyle"/>
        </w:rPr>
        <w:t xml:space="preserve"> have been kept secret from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foundation of the world</w:t>
      </w:r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(Matt. 13:35). It is not </w:t>
      </w:r>
      <w:proofErr w:type="gramStart"/>
      <w:r w:rsidR="00903E59" w:rsidRPr="00C254B7">
        <w:rPr>
          <w14:ligatures w14:val="standardContextual"/>
          <w14:numForm w14:val="oldStyle"/>
        </w:rPr>
        <w:t>so</w:t>
      </w:r>
      <w:proofErr w:type="gramEnd"/>
      <w:r w:rsidR="00903E59" w:rsidRPr="00C254B7">
        <w:rPr>
          <w14:ligatures w14:val="standardContextual"/>
          <w14:numForm w14:val="oldStyle"/>
        </w:rPr>
        <w:t xml:space="preserve"> absurd as it might seem to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claim that </w:t>
      </w:r>
      <w:r w:rsidR="00903E59"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="00903E59" w:rsidRPr="00C254B7">
        <w:rPr>
          <w14:ligatures w14:val="standardContextual"/>
          <w14:numForm w14:val="oldStyle"/>
        </w:rPr>
        <w:t>is a secular version of what are, originally at least,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intertwined religious or sacred genres: apocalypse, parable, allegory. Conrad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himself spoke of the </w:t>
      </w:r>
      <w:r w:rsidRPr="00C254B7">
        <w:rPr>
          <w14:ligatures w14:val="standardContextual"/>
          <w14:numForm w14:val="oldStyle"/>
        </w:rPr>
        <w:t>“</w:t>
      </w:r>
      <w:r w:rsidR="00903E59" w:rsidRPr="00C254B7">
        <w:rPr>
          <w14:ligatures w14:val="standardContextual"/>
          <w14:numForm w14:val="oldStyle"/>
        </w:rPr>
        <w:t>piety</w:t>
      </w:r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of his approach to writing and of his motive as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quasi-religious. </w:t>
      </w:r>
      <w:r w:rsidRPr="00C254B7">
        <w:rPr>
          <w14:ligatures w14:val="standardContextual"/>
          <w14:numForm w14:val="oldStyle"/>
        </w:rPr>
        <w:t>“</w:t>
      </w:r>
      <w:r w:rsidR="00903E59" w:rsidRPr="00C254B7">
        <w:rPr>
          <w14:ligatures w14:val="standardContextual"/>
          <w14:numForm w14:val="oldStyle"/>
        </w:rPr>
        <w:t>One thing that I am certain of,</w:t>
      </w:r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he wrote in a letter to Arthur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 xml:space="preserve">Symons, </w:t>
      </w:r>
      <w:r w:rsidRPr="00C254B7">
        <w:rPr>
          <w14:ligatures w14:val="standardContextual"/>
          <w14:numForm w14:val="oldStyle"/>
        </w:rPr>
        <w:t>“</w:t>
      </w:r>
      <w:r w:rsidR="00903E59" w:rsidRPr="00C254B7">
        <w:rPr>
          <w14:ligatures w14:val="standardContextual"/>
          <w14:numForm w14:val="oldStyle"/>
        </w:rPr>
        <w:t>is that I have approached the object of my task, things human, in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spirit of piety. The earth is a temple where there is going on a mystery play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childish and poignant, ridiculous and awful enough in all conscience. Once in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I</w:t>
      </w:r>
      <w:r w:rsidRPr="00C254B7">
        <w:rPr>
          <w14:ligatures w14:val="standardContextual"/>
          <w14:numForm w14:val="oldStyle"/>
        </w:rPr>
        <w:t>’</w:t>
      </w:r>
      <w:r w:rsidR="00903E59" w:rsidRPr="00C254B7">
        <w:rPr>
          <w14:ligatures w14:val="standardContextual"/>
          <w14:numForm w14:val="oldStyle"/>
        </w:rPr>
        <w:t xml:space="preserve">ve tried to behave decently. I have not degraded the </w:t>
      </w:r>
      <w:proofErr w:type="spellStart"/>
      <w:r w:rsidR="00903E59" w:rsidRPr="00C254B7">
        <w:rPr>
          <w14:ligatures w14:val="standardContextual"/>
          <w14:numForm w14:val="oldStyle"/>
        </w:rPr>
        <w:t>quasi religious</w:t>
      </w:r>
      <w:proofErr w:type="spellEnd"/>
      <w:r w:rsidR="00903E59" w:rsidRPr="00C254B7">
        <w:rPr>
          <w14:ligatures w14:val="standardContextual"/>
          <w14:numForm w14:val="oldStyle"/>
        </w:rPr>
        <w:t xml:space="preserve"> sentiment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by tears and groans, and if I</w:t>
      </w:r>
      <w:r w:rsidRPr="00C254B7">
        <w:rPr>
          <w14:ligatures w14:val="standardContextual"/>
          <w14:numForm w14:val="oldStyle"/>
        </w:rPr>
        <w:t>’</w:t>
      </w:r>
      <w:r w:rsidR="00903E59" w:rsidRPr="00C254B7">
        <w:rPr>
          <w14:ligatures w14:val="standardContextual"/>
          <w14:numForm w14:val="oldStyle"/>
        </w:rPr>
        <w:t>ve been amused and indifferent, I</w:t>
      </w:r>
      <w:r w:rsidRPr="00C254B7">
        <w:rPr>
          <w14:ligatures w14:val="standardContextual"/>
          <w14:numForm w14:val="oldStyle"/>
        </w:rPr>
        <w:t>’</w:t>
      </w:r>
      <w:r w:rsidR="00903E59" w:rsidRPr="00C254B7">
        <w:rPr>
          <w14:ligatures w14:val="standardContextual"/>
          <w14:numForm w14:val="oldStyle"/>
        </w:rPr>
        <w:t>ve neither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903E59" w:rsidRPr="00C254B7">
        <w:rPr>
          <w14:ligatures w14:val="standardContextual"/>
          <w14:numForm w14:val="oldStyle"/>
        </w:rPr>
        <w:t>grinned nor gnashed my teeth</w:t>
      </w:r>
      <w:r w:rsidRPr="00C254B7">
        <w:rPr>
          <w14:ligatures w14:val="standardContextual"/>
          <w14:numForm w14:val="oldStyle"/>
        </w:rPr>
        <w:t>”</w:t>
      </w:r>
      <w:r w:rsidR="00903E59" w:rsidRPr="00C254B7">
        <w:rPr>
          <w14:ligatures w14:val="standardContextual"/>
          <w14:numForm w14:val="oldStyle"/>
        </w:rPr>
        <w:t xml:space="preserve"> (154).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 xml:space="preserve">In the case of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 xml:space="preserve">just what is that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something else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for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revelation of which the whole story is written? The clear answer is that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something else is that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that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narration so persistently personifies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that Kurtz passes judgment on when he says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horror!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Everything in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whole story, all the mimetic and verisimilar elements, is for the sake of bringing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out a glimpse of that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the revelation of which is promised by the frame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narrator when he defines the characteristic indirection of meaning in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yarns. Many critics, perhaps even most critics, of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have made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the fundamental mistake of taking the story as an example of the first kind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seaman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yarn. That is certainly the way Achebe reads it. Those critics, like F. R.</w:t>
      </w:r>
      <w:r w:rsidR="00007FF2" w:rsidRPr="00C254B7">
        <w:rPr>
          <w14:ligatures w14:val="standardContextual"/>
          <w14:numForm w14:val="oldStyle"/>
        </w:rPr>
        <w:t xml:space="preserve"> </w:t>
      </w:r>
      <w:proofErr w:type="spellStart"/>
      <w:r w:rsidRPr="00C254B7">
        <w:rPr>
          <w14:ligatures w14:val="standardContextual"/>
          <w14:numForm w14:val="oldStyle"/>
        </w:rPr>
        <w:t>Leavis</w:t>
      </w:r>
      <w:proofErr w:type="spellEnd"/>
      <w:r w:rsidRPr="00C254B7">
        <w:rPr>
          <w14:ligatures w14:val="standardContextual"/>
          <w14:numForm w14:val="oldStyle"/>
        </w:rPr>
        <w:t xml:space="preserve">, who have noticed all the language about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unspeakable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inscrutable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have almost universally </w:t>
      </w:r>
      <w:proofErr w:type="spellStart"/>
      <w:r w:rsidRPr="00C254B7">
        <w:rPr>
          <w14:ligatures w14:val="standardContextual"/>
          <w14:numForm w14:val="oldStyle"/>
        </w:rPr>
        <w:t>condemed</w:t>
      </w:r>
      <w:proofErr w:type="spellEnd"/>
      <w:r w:rsidRPr="00C254B7">
        <w:rPr>
          <w14:ligatures w14:val="standardContextual"/>
          <w14:numForm w14:val="oldStyle"/>
        </w:rPr>
        <w:t xml:space="preserve"> it as so much moonshine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interfering with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gift for making you </w:t>
      </w:r>
      <w:r w:rsidRPr="00C254B7">
        <w:rPr>
          <w:i/>
          <w:iCs/>
          <w14:ligatures w14:val="standardContextual"/>
          <w14:numForm w14:val="oldStyle"/>
        </w:rPr>
        <w:t>see</w:t>
      </w:r>
      <w:r w:rsidRPr="00C254B7">
        <w:rPr>
          <w14:ligatures w14:val="standardContextual"/>
          <w14:numForm w14:val="oldStyle"/>
        </w:rPr>
        <w:t>, his gift for descriptive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vividness. At least such critics have taken the trouble to read carefully and have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noticed that there are important verbal elements in the text that must be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accounted for somehow and that do not fit the straightforward mimetic,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descriptive paradigm.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 xml:space="preserve">Is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something,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revealed, brought into the open where it may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be seen and judged? The clear answer is that it is not.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remains to the end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unnamable,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inscrutable,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unspeakable,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falsely, or at any rate </w:t>
      </w:r>
      <w:proofErr w:type="spellStart"/>
      <w:r w:rsidRPr="00C254B7">
        <w:rPr>
          <w14:ligatures w14:val="standardContextual"/>
          <w14:numForm w14:val="oldStyle"/>
        </w:rPr>
        <w:t>unprovably</w:t>
      </w:r>
      <w:proofErr w:type="spellEnd"/>
      <w:r w:rsidRPr="00C254B7">
        <w:rPr>
          <w14:ligatures w14:val="standardContextual"/>
          <w14:numForm w14:val="oldStyle"/>
        </w:rPr>
        <w:t>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personified as having consciousness and intention by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rhetoric, named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only indirectly and inadequately by all those similes and figures of veils being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lifted. How could something be revealed that can only be revealed to those who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have crossed over the threshold of death? The reader is told that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is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horror!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but just what that means is never explained except in hints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indirections. Nothing </w:t>
      </w:r>
      <w:r w:rsidRPr="00C254B7">
        <w:rPr>
          <w14:ligatures w14:val="standardContextual"/>
          <w14:numForm w14:val="oldStyle"/>
        </w:rPr>
        <w:lastRenderedPageBreak/>
        <w:t xml:space="preserve">definite can be said of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except that it is not nothing,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that it is, though even that is not certain, since it may be a projection, not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solicitation, call, or demand from something wholly other. Of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one must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say what Wallace Stevens says of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primitive like an orb,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at the center on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horizon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: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 is and it/</w:t>
      </w:r>
      <w:proofErr w:type="gramStart"/>
      <w:r w:rsidRPr="00C254B7">
        <w:rPr>
          <w14:ligatures w14:val="standardContextual"/>
          <w14:numForm w14:val="oldStyle"/>
        </w:rPr>
        <w:t>Is</w:t>
      </w:r>
      <w:proofErr w:type="gramEnd"/>
      <w:r w:rsidRPr="00C254B7">
        <w:rPr>
          <w14:ligatures w14:val="standardContextual"/>
          <w14:numForm w14:val="oldStyle"/>
        </w:rPr>
        <w:t xml:space="preserve"> not and, therefore, is.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If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is wholly other it is wholly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other, and nothing more can be said of it except by signs that confess in their</w:t>
      </w:r>
      <w:r w:rsidR="00007FF2" w:rsidRPr="00C254B7">
        <w:rPr>
          <w14:ligatures w14:val="standardContextual"/>
          <w14:numForm w14:val="oldStyle"/>
        </w:rPr>
        <w:t xml:space="preserve"> </w:t>
      </w:r>
      <w:proofErr w:type="spellStart"/>
      <w:r w:rsidRPr="00C254B7">
        <w:rPr>
          <w14:ligatures w14:val="standardContextual"/>
          <w14:numForm w14:val="oldStyle"/>
        </w:rPr>
        <w:t>proferring</w:t>
      </w:r>
      <w:proofErr w:type="spellEnd"/>
      <w:r w:rsidRPr="00C254B7">
        <w:rPr>
          <w14:ligatures w14:val="standardContextual"/>
          <w14:numForm w14:val="oldStyle"/>
        </w:rPr>
        <w:t xml:space="preserve"> to their inadequacy. Each veil lifts to reveal another veil behind.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The structure of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is the structure of the endlessly deferred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promise, the implicit promise that Marlow makes at the beginning of his tale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when he says that though his meeting with Kurtz,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farthest point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navigation and the culminating point of my experience,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was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not very clear,</w:t>
      </w:r>
      <w:r w:rsidR="00C254B7" w:rsidRPr="00C254B7">
        <w:rPr>
          <w14:ligatures w14:val="standardContextual"/>
          <w14:numForm w14:val="oldStyle"/>
        </w:rPr>
        <w:t>”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nevertheless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 seemed to throw a kind of light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(7). Marlow promises to pass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this light or illumination on to his hearers. The primary narrator passes it on to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us, the readers. The fulfillment of this promise to reveal, however, remains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always future, something yet to come, eschatological or messianic rather than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teleological. It is an end that can never come within the conditions of the series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of episodes that reaches out towards it as life reaches towards death, or as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:i/>
          <w:iCs/>
          <w14:ligatures w14:val="standardContextual"/>
          <w14:numForm w14:val="oldStyle"/>
        </w:rPr>
        <w:t xml:space="preserve">Revelations </w:t>
      </w:r>
      <w:r w:rsidRPr="00C254B7">
        <w:rPr>
          <w14:ligatures w14:val="standardContextual"/>
          <w14:numForm w14:val="oldStyle"/>
        </w:rPr>
        <w:t>promises an imminent messianic coming that always remains future,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to come, but only beyond the last in the series, across the threshold into another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realm and another regime. It is in the name of this unrevealed and </w:t>
      </w:r>
      <w:proofErr w:type="spellStart"/>
      <w:r w:rsidRPr="00C254B7">
        <w:rPr>
          <w14:ligatures w14:val="standardContextual"/>
          <w14:numForm w14:val="oldStyle"/>
        </w:rPr>
        <w:t>unrevealable</w:t>
      </w:r>
      <w:proofErr w:type="spellEnd"/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secret, out of obligation to it, in response to the demand it makes, while still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remaining secret and inaccessible, that all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is written.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presence within the novel of this inaccessible secret, a secret that nevertheless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incites to narration, is what makes it appropriate to speak of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as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literature.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>The place where this ultimate failure of revelation is made most explicit 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comment on the difference between Kurtz, who summed up at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moment of his death, giving words to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appalling face of a glimpsed truth</w:t>
      </w:r>
      <w:r w:rsidR="00C254B7" w:rsidRPr="00C254B7">
        <w:rPr>
          <w14:ligatures w14:val="standardContextual"/>
          <w14:numForm w14:val="oldStyle"/>
        </w:rPr>
        <w:t>”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(72), and his own illness that took him to the brink of death and then back into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life again, therefore not quite far enough to see what Kurtz saw: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And it is not my own extremity I remember best--a vision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greyness without form filled with physical pain, and a careless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contempt for the evanescence of all things--even of this pain itself.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No! It is his extremity that I seemed to have lived through. True, 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had made that last stride, he had stepped over the edge, while I had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been permitted to draw back my hesitating foot. And perhaps in this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is the whole difference; perhaps all the wisdom, and all truth, and all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sincerity, are just </w:t>
      </w:r>
      <w:proofErr w:type="spellStart"/>
      <w:r w:rsidRPr="00C254B7">
        <w:rPr>
          <w14:ligatures w14:val="standardContextual"/>
          <w14:numForm w14:val="oldStyle"/>
        </w:rPr>
        <w:t>compresssed</w:t>
      </w:r>
      <w:proofErr w:type="spellEnd"/>
      <w:r w:rsidRPr="00C254B7">
        <w:rPr>
          <w14:ligatures w14:val="standardContextual"/>
          <w14:numForm w14:val="oldStyle"/>
        </w:rPr>
        <w:t xml:space="preserve"> into that inappreciable moment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time in which we step over the threshold of the invisible. Perhaps!</w:t>
      </w:r>
      <w:r w:rsidR="00C254B7" w:rsidRPr="00C254B7">
        <w:rPr>
          <w14:ligatures w14:val="standardContextual"/>
          <w14:numForm w14:val="oldStyle"/>
        </w:rPr>
        <w:t>”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(72)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 xml:space="preserve">How would one know without crossing that </w:t>
      </w:r>
      <w:proofErr w:type="spellStart"/>
      <w:r w:rsidRPr="00C254B7">
        <w:rPr>
          <w14:ligatures w14:val="standardContextual"/>
          <w14:numForm w14:val="oldStyle"/>
        </w:rPr>
        <w:t>bourne</w:t>
      </w:r>
      <w:proofErr w:type="spellEnd"/>
      <w:r w:rsidRPr="00C254B7">
        <w:rPr>
          <w14:ligatures w14:val="standardContextual"/>
          <w14:numForm w14:val="oldStyle"/>
        </w:rPr>
        <w:t xml:space="preserve"> from which no traveler ever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returns? If you know you are, necessarily, no longer around to tell the tale. Even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knowing this remains, necessarily, a matter of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perhaps.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It is, however, in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name of this non-revelation, this indirect glimpse, as the moon spectrally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illuminates a ring of mist, that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judgment of imperialism is made.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is the black back-cloth before which all the </w:t>
      </w:r>
      <w:proofErr w:type="spellStart"/>
      <w:r w:rsidRPr="00C254B7">
        <w:rPr>
          <w14:ligatures w14:val="standardContextual"/>
          <w14:numForm w14:val="oldStyle"/>
        </w:rPr>
        <w:t>serio</w:t>
      </w:r>
      <w:proofErr w:type="spellEnd"/>
      <w:r w:rsidRPr="00C254B7">
        <w:rPr>
          <w14:ligatures w14:val="standardContextual"/>
          <w14:numForm w14:val="oldStyle"/>
        </w:rPr>
        <w:t>-comic antics of those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carrying on the merry dance of death and trade, including their racism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sexism, are ironically suspended, made to appear both horrible and futile 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once. The ubiquity of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allows Marlow to imply the identity between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African mistress and his Intended that is so crucial to the story, as well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as to assert an all-important identity between the early Roman conquerors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Britain, present-day British commerce as represented by the Director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Companies, the Lawyer, and the Accountant, and the enterprise of imperialism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in Africa. Of the Eldorado Exploring Expedition, Marlow says,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To tear treasure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out of the bowels of the land </w:t>
      </w:r>
      <w:r w:rsidRPr="00C254B7">
        <w:rPr>
          <w14:ligatures w14:val="standardContextual"/>
          <w14:numForm w14:val="oldStyle"/>
        </w:rPr>
        <w:lastRenderedPageBreak/>
        <w:t>was their desire, with no more moral purpose 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the back of it than there is in burglars breaking into a safe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(31). The same thing,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however, is said about the Romans near the beginning of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narration in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a way that gives it universal application: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conquest of the earth, which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mostly means the taking it away from those who have a different complexion or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slightly flatter noses than ourselves, is not a pretty thing when you look into it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too much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(7).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looks into it. It was seen by early readers as an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unequivocal condemnation of Leopold II and of Belgian imperialism in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Congo. I note in passing that now (1998) that a new regime has taken over in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Congo, transnational companies are fighting for the rights to exploit mineral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deposits there, for example copper. The new global economy is not all that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different from the imperialism of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day. It is not surprising that the novel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represents in Marlow Eurocentric views. It was written by a European. Nor is it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surprising that it represents sexist views, however much those are to be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deplored. It was written to dramatize the views of an imaginary protagonist,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white male of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class and time, just as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critics represent their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times, races, sexes, and nations. I claim, however, that by being displaced into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Marlow as narrator and by being measured against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these views are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radically criticized and shown as what they are, that is, as elements in a deadly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and unjust ideology.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>What of Kurtz, however? Is he not different from the other agents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imperialism, who are possessed by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a flabby, pretending, weak-eyed devil of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rapacious and pitiless folly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(17). They have no insight into the way they are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victims of the imperialist ideology as well as victimizers of those it exploits.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Kurtz, however,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was a remarkable man,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as Marlow himself repeatedly asserts,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in a phrase he picks up from one of the agents.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>On the one hand the story of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degradation is the familiar narrative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cliché of the European who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goes native.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Kurtz, like </w:t>
      </w:r>
      <w:proofErr w:type="spellStart"/>
      <w:r w:rsidRPr="00C254B7">
        <w:rPr>
          <w14:ligatures w14:val="standardContextual"/>
          <w14:numForm w14:val="oldStyle"/>
        </w:rPr>
        <w:t>Lingard</w:t>
      </w:r>
      <w:proofErr w:type="spellEnd"/>
      <w:r w:rsidRPr="00C254B7">
        <w:rPr>
          <w14:ligatures w14:val="standardContextual"/>
          <w14:numForm w14:val="oldStyle"/>
        </w:rPr>
        <w:t>, Lord Jim,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even Charles Gould, in other novels by Conrad, crosses over a border, ceases to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be European, sets himself up as a sort of King in the alien land, thereby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anticipating the destiny of most colonies to become ultimately independent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nations and thereby betray in one way or another ideals, the ethos, the laws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conventions, of the colonizing country. The United States did that in 1776.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somewhat ludicrous fear that this will happen, or that it will necessarily be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disaster if it does happen, has haunted the colonial enterprise from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beginning. On the other hand Kurtz never completely makes that break. After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all, he allows Marlow to rescue him when he has crawled back ashore to join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Africans who have become his subjects. He dies oriented toward Europe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toward the hope that he will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have kings meet him at railway stations on his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return from some ghastly nowhere, where he intended to accomplish great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things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(69).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>The reader will perhaps have foreseen the conclusion toward which my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evidence is drawing me. The complex contradictory structure of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ideology of imperialism repeats exactly the complex ideology that sees a literary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work as the apocalyptic promise of a never-quite-yet-</w:t>
      </w:r>
      <w:proofErr w:type="spellStart"/>
      <w:r w:rsidRPr="00C254B7">
        <w:rPr>
          <w14:ligatures w14:val="standardContextual"/>
          <w14:numForm w14:val="oldStyle"/>
        </w:rPr>
        <w:t>ocurring</w:t>
      </w:r>
      <w:proofErr w:type="spellEnd"/>
      <w:r w:rsidRPr="00C254B7">
        <w:rPr>
          <w14:ligatures w14:val="standardContextual"/>
          <w14:numForm w14:val="oldStyle"/>
        </w:rPr>
        <w:t xml:space="preserve"> revelation. It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would not be a promise if it were not possible that the promise might not be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kept. The literary promise of an always postponed revelation is strikingly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exemplified not only by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narration but also by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as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whole.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work, not just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fictive work, fits this paradigm. This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makes a chain of spectral duplications that is already prepared by the formal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and figural features I have described. But just how does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ideology repeat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that of Marlow and of Conrad? The literary work, for example </w:t>
      </w:r>
      <w:r w:rsidRPr="00C254B7">
        <w:rPr>
          <w:i/>
          <w:iCs/>
          <w14:ligatures w14:val="standardContextual"/>
          <w14:numForm w14:val="oldStyle"/>
        </w:rPr>
        <w:t>Heart of Darkness</w:t>
      </w:r>
      <w:r w:rsidR="00007FF2" w:rsidRPr="00C254B7">
        <w:rPr>
          <w:i/>
          <w:iCs/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or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narration within it, is governed by what Derrida calls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 xml:space="preserve">the </w:t>
      </w:r>
      <w:r w:rsidRPr="00C254B7">
        <w:rPr>
          <w:i/>
          <w:iCs/>
          <w14:ligatures w14:val="standardContextual"/>
          <w14:numForm w14:val="oldStyle"/>
        </w:rPr>
        <w:t>exemplary</w:t>
      </w:r>
      <w:r w:rsidR="00007FF2" w:rsidRPr="00C254B7">
        <w:rPr>
          <w:i/>
          <w:iCs/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lastRenderedPageBreak/>
        <w:t>secret of literature,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:sz w:val="14"/>
          <w:szCs w:val="14"/>
          <w14:ligatures w14:val="standardContextual"/>
          <w14:numForm w14:val="oldStyle"/>
        </w:rPr>
        <w:t xml:space="preserve">6 </w:t>
      </w:r>
      <w:r w:rsidRPr="00C254B7">
        <w:rPr>
          <w14:ligatures w14:val="standardContextual"/>
          <w14:numForm w14:val="oldStyle"/>
        </w:rPr>
        <w:t>that is the endlessly deferred promise of a definitive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revelation that never occurs. This structure is not only literary but also linguistic.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It depends, I mean, on the fact that a work of literature is made of language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not of any other material or substance. Marlow stresses over and over that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though Kurtz was a universal genius, an artist, musician, journalist, politician,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and so on, his chief characteristic was his gift of language: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 xml:space="preserve">A voice! </w:t>
      </w:r>
      <w:proofErr w:type="gramStart"/>
      <w:r w:rsidRPr="00C254B7">
        <w:rPr>
          <w14:ligatures w14:val="standardContextual"/>
          <w14:numForm w14:val="oldStyle"/>
        </w:rPr>
        <w:t>a</w:t>
      </w:r>
      <w:proofErr w:type="gramEnd"/>
      <w:r w:rsidRPr="00C254B7">
        <w:rPr>
          <w14:ligatures w14:val="standardContextual"/>
          <w14:numForm w14:val="oldStyle"/>
        </w:rPr>
        <w:t xml:space="preserve"> voice! It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was grave, profound, vibrating, while the man did not seem capable of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whisper. . . . Kurtz discoursed. A voice! </w:t>
      </w:r>
      <w:proofErr w:type="gramStart"/>
      <w:r w:rsidRPr="00C254B7">
        <w:rPr>
          <w14:ligatures w14:val="standardContextual"/>
          <w14:numForm w14:val="oldStyle"/>
        </w:rPr>
        <w:t>a</w:t>
      </w:r>
      <w:proofErr w:type="gramEnd"/>
      <w:r w:rsidRPr="00C254B7">
        <w:rPr>
          <w14:ligatures w14:val="standardContextual"/>
          <w14:numForm w14:val="oldStyle"/>
        </w:rPr>
        <w:t xml:space="preserve"> voice! It rang deep to the very last. It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survived his strength to hide in the magnificent folds of eloquence the barren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darkness of his heart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(61, 69). Kurtz, in short (a pun there on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name,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which means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short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in German; Marlow makes a similar joke), has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magnificent mastery of language that is similar to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own, or to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s.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An appeal to me in this fiendish row--is there? Very well; I hear; I admit, but I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have a voice too, and for good or evil mine is the speech that cannot be silenced</w:t>
      </w:r>
      <w:r w:rsidR="00C254B7" w:rsidRPr="00C254B7">
        <w:rPr>
          <w14:ligatures w14:val="standardContextual"/>
          <w14:numForm w14:val="oldStyle"/>
        </w:rPr>
        <w:t>”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(37). What does Kurtz talk or write about? The reader is told of the lofty idealism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of the pamphlet on the Suppression of Savage Customs. He has bewitched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particolored Russian, as Marlow ironically attests, by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splendid monologues on,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what was it? </w:t>
      </w:r>
      <w:proofErr w:type="gramStart"/>
      <w:r w:rsidRPr="00C254B7">
        <w:rPr>
          <w14:ligatures w14:val="standardContextual"/>
          <w14:numForm w14:val="oldStyle"/>
        </w:rPr>
        <w:t>on</w:t>
      </w:r>
      <w:proofErr w:type="gramEnd"/>
      <w:r w:rsidRPr="00C254B7">
        <w:rPr>
          <w14:ligatures w14:val="standardContextual"/>
          <w14:numForm w14:val="oldStyle"/>
        </w:rPr>
        <w:t xml:space="preserve"> love, justice, conduct of life--or what not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(59). Most of all,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however,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discourse is dominated by unfulfilled and perhaps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unfulfillable promises made to the whole world on behalf of Eurocentric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imperialist capitalism and in support of his role as its embodiment.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All Europe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contributed to the making of Kurtz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(50). Kurtz is like a John the Baptist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announcing the new capitalist messiah, or perhaps himself that messiah. That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betrothed is called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Intended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is the emblem of this future-oriented,</w:t>
      </w:r>
      <w:r w:rsidR="00007FF2" w:rsidRPr="00C254B7">
        <w:rPr>
          <w14:ligatures w14:val="standardContextual"/>
          <w14:numForm w14:val="oldStyle"/>
        </w:rPr>
        <w:t xml:space="preserve"> </w:t>
      </w:r>
      <w:proofErr w:type="spellStart"/>
      <w:r w:rsidRPr="00C254B7">
        <w:rPr>
          <w14:ligatures w14:val="standardContextual"/>
          <w14:numForm w14:val="oldStyle"/>
        </w:rPr>
        <w:t>proleptic</w:t>
      </w:r>
      <w:proofErr w:type="spellEnd"/>
      <w:r w:rsidRPr="00C254B7">
        <w:rPr>
          <w14:ligatures w14:val="standardContextual"/>
          <w14:numForm w14:val="oldStyle"/>
        </w:rPr>
        <w:t xml:space="preserve"> feature of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eloquence.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 had immense plans,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mutters,</w:t>
      </w:r>
      <w:r w:rsidR="00C254B7" w:rsidRPr="00C254B7">
        <w:rPr>
          <w14:ligatures w14:val="standardContextual"/>
          <w14:numForm w14:val="oldStyle"/>
        </w:rPr>
        <w:t>”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when Marlow is trying to persuade him come back the boat.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 was on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threshold of great things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(67). Later, as he lies dying on the ship that is taking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him back toward Europe, his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discourse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is all future-oriented, all promises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great things to come: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wastes of his weary brain were haunted by shadowy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images now--images of wealth and fame revolving round his </w:t>
      </w:r>
      <w:proofErr w:type="spellStart"/>
      <w:r w:rsidRPr="00C254B7">
        <w:rPr>
          <w14:ligatures w14:val="standardContextual"/>
          <w14:numForm w14:val="oldStyle"/>
        </w:rPr>
        <w:t>unextinguishable</w:t>
      </w:r>
      <w:proofErr w:type="spellEnd"/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gift of noble and lofty expression. My Intended! </w:t>
      </w:r>
      <w:proofErr w:type="gramStart"/>
      <w:r w:rsidRPr="00C254B7">
        <w:rPr>
          <w14:ligatures w14:val="standardContextual"/>
          <w14:numForm w14:val="oldStyle"/>
        </w:rPr>
        <w:t>my</w:t>
      </w:r>
      <w:proofErr w:type="gramEnd"/>
      <w:r w:rsidRPr="00C254B7">
        <w:rPr>
          <w14:ligatures w14:val="standardContextual"/>
          <w14:numForm w14:val="oldStyle"/>
        </w:rPr>
        <w:t xml:space="preserve"> station, my career, my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ideas--these were the subject for the occasional utterances of elevated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sentiments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(69). The fulfillment of these promises is cut short by a death that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seals a secret or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mystery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that Kurtz carries with him to the grave and that 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the necessary accompaniment of his grandiose promises. In being inhabited by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this mystery Kurtz is the embodiment not just of the ideology of European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capitalist imperialism but of its dark shadow, a ghost that cannot be laid,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</w:t>
      </w:r>
      <w:r w:rsidR="00C254B7" w:rsidRPr="00C254B7">
        <w:rPr>
          <w14:ligatures w14:val="standardContextual"/>
          <w14:numForm w14:val="oldStyle"/>
        </w:rPr>
        <w:t>”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that is the inescapable accompaniment of imperialism and that Marlow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identifies, in figure, with both Kurtz and with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wilderness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that has invaded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his soul. Since Kurtz embodies the darkness it is logical or inevitable that 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himself should become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god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that the Africans worship and crawl before, in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striking anticipation of the fascist or violent authoritarian possibilities within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capitalist imperialism.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soul, like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was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an inconceivable mystery</w:t>
      </w:r>
      <w:r w:rsidR="00C254B7" w:rsidRPr="00C254B7">
        <w:rPr>
          <w14:ligatures w14:val="standardContextual"/>
          <w14:numForm w14:val="oldStyle"/>
        </w:rPr>
        <w:t>”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(68). He has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a smile of indefinable meaning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(68).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His was an impenetrable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darkness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(70).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allegiance to Kurtz buries him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in a vast grave full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unspeakable secrets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(63), just as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African mistress matches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wilderness in having </w:t>
      </w:r>
      <w:r w:rsidR="00C254B7" w:rsidRPr="00C254B7">
        <w:rPr>
          <w14:ligatures w14:val="standardContextual"/>
          <w14:numForm w14:val="oldStyle"/>
        </w:rPr>
        <w:t>“</w:t>
      </w:r>
      <w:proofErr w:type="gramStart"/>
      <w:r w:rsidRPr="00C254B7">
        <w:rPr>
          <w14:ligatures w14:val="standardContextual"/>
          <w14:numForm w14:val="oldStyle"/>
        </w:rPr>
        <w:t>an</w:t>
      </w:r>
      <w:proofErr w:type="gramEnd"/>
      <w:r w:rsidRPr="00C254B7">
        <w:rPr>
          <w14:ligatures w14:val="standardContextual"/>
          <w14:numForm w14:val="oldStyle"/>
        </w:rPr>
        <w:t xml:space="preserve"> air of brooding over an inscrutable purpose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(62), an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air of hidden knowledge, of patient expectation, of unapproachable silence</w:t>
      </w:r>
      <w:r w:rsidR="00C254B7" w:rsidRPr="00C254B7">
        <w:rPr>
          <w14:ligatures w14:val="standardContextual"/>
          <w14:numForm w14:val="oldStyle"/>
        </w:rPr>
        <w:t>”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(57). It was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stillness of an implacable force brooding over an inscrutable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intention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(34).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is no more able to remove the last veil in an ultimate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revelation than Marlow or Conrad can in their narrations. In all three cases a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promise is made whose fulfillment or definitive non-fulfillment always remains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yet to come.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lastRenderedPageBreak/>
        <w:t xml:space="preserve">What can one say to explain this </w:t>
      </w:r>
      <w:proofErr w:type="gramStart"/>
      <w:r w:rsidRPr="00C254B7">
        <w:rPr>
          <w14:ligatures w14:val="standardContextual"/>
          <w14:numForm w14:val="oldStyle"/>
        </w:rPr>
        <w:t>contradiction, that</w:t>
      </w:r>
      <w:proofErr w:type="gramEnd"/>
      <w:r w:rsidRPr="00C254B7">
        <w:rPr>
          <w14:ligatures w14:val="standardContextual"/>
          <w14:numForm w14:val="oldStyle"/>
        </w:rPr>
        <w:t xml:space="preserve">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magnificent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idealistic eloquence is at the same time inhabited by an impenetrable darkness?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Both 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narration and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eloquence, since both are based on that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special speech act called a promise, are subject to two ineluctable features of any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promise: 1) </w:t>
      </w:r>
      <w:proofErr w:type="gramStart"/>
      <w:r w:rsidRPr="00C254B7">
        <w:rPr>
          <w14:ligatures w14:val="standardContextual"/>
          <w14:numForm w14:val="oldStyle"/>
        </w:rPr>
        <w:t>A</w:t>
      </w:r>
      <w:proofErr w:type="gramEnd"/>
      <w:r w:rsidRPr="00C254B7">
        <w:rPr>
          <w14:ligatures w14:val="standardContextual"/>
          <w14:numForm w14:val="oldStyle"/>
        </w:rPr>
        <w:t xml:space="preserve"> promise would not be a promise but rather a </w:t>
      </w:r>
      <w:proofErr w:type="spellStart"/>
      <w:r w:rsidRPr="00C254B7">
        <w:rPr>
          <w14:ligatures w14:val="standardContextual"/>
          <w14:numForm w14:val="oldStyle"/>
        </w:rPr>
        <w:t>constative</w:t>
      </w:r>
      <w:proofErr w:type="spellEnd"/>
      <w:r w:rsidRPr="00C254B7">
        <w:rPr>
          <w14:ligatures w14:val="standardContextual"/>
          <w14:numForm w14:val="oldStyle"/>
        </w:rPr>
        <w:t xml:space="preserve"> foreknowledge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if it were not possible that it will not be kept. A possible nonfulfillment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is an inalienable structural feature of any promise, whether that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promise is made in literature or in politics. 2) Any promise is an invocation of an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unknown and unknowable future, of a secret other that remains secret and 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invited to come into that hollow uncertainty of the promise. In the case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Marlow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narration, which I am taking as an exemplary literary work, what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enters the narration is all that talk of the inscrutable, the impenetrable mystery,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the unspeakable secret, and so on that has so offended some of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readers.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In 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case the </w:t>
      </w:r>
      <w:proofErr w:type="spellStart"/>
      <w:r w:rsidRPr="00C254B7">
        <w:rPr>
          <w14:ligatures w14:val="standardContextual"/>
          <w14:numForm w14:val="oldStyle"/>
        </w:rPr>
        <w:t>millenial</w:t>
      </w:r>
      <w:proofErr w:type="spellEnd"/>
      <w:r w:rsidRPr="00C254B7">
        <w:rPr>
          <w14:ligatures w14:val="standardContextual"/>
          <w14:numForm w14:val="oldStyle"/>
        </w:rPr>
        <w:t xml:space="preserve"> promise made by imperialist capitalism, since it is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hollow at the core, cannot be separated from the possibility or perhaps even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necessity of invasion by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it,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what Conrad calls the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 xml:space="preserve">heart of </w:t>
      </w:r>
      <w:proofErr w:type="gramStart"/>
      <w:r w:rsidRPr="00C254B7">
        <w:rPr>
          <w14:ligatures w14:val="standardContextual"/>
          <w14:numForm w14:val="oldStyle"/>
        </w:rPr>
        <w:t>darkness.</w:t>
      </w:r>
      <w:proofErr w:type="gramEnd"/>
      <w:r w:rsidR="00C254B7" w:rsidRPr="00C254B7">
        <w:rPr>
          <w14:ligatures w14:val="standardContextual"/>
          <w14:numForm w14:val="oldStyle"/>
        </w:rPr>
        <w:t>”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Kurtz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case is exemplary of that, a parable or allegory of that necessity. No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imperialist </w:t>
      </w:r>
      <w:proofErr w:type="spellStart"/>
      <w:r w:rsidRPr="00C254B7">
        <w:rPr>
          <w14:ligatures w14:val="standardContextual"/>
          <w14:numForm w14:val="oldStyle"/>
        </w:rPr>
        <w:t>captalism</w:t>
      </w:r>
      <w:proofErr w:type="spellEnd"/>
      <w:r w:rsidRPr="00C254B7">
        <w:rPr>
          <w14:ligatures w14:val="standardContextual"/>
          <w14:numForm w14:val="oldStyle"/>
        </w:rPr>
        <w:t xml:space="preserve"> without the darkness. They go together. Nor has that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spectral accompaniment of capitalism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 xml:space="preserve">s </w:t>
      </w:r>
      <w:proofErr w:type="spellStart"/>
      <w:r w:rsidRPr="00C254B7">
        <w:rPr>
          <w14:ligatures w14:val="standardContextual"/>
          <w14:numForm w14:val="oldStyle"/>
        </w:rPr>
        <w:t>millenial</w:t>
      </w:r>
      <w:proofErr w:type="spellEnd"/>
      <w:r w:rsidRPr="00C254B7">
        <w:rPr>
          <w14:ligatures w14:val="standardContextual"/>
          <w14:numForm w14:val="oldStyle"/>
        </w:rPr>
        <w:t xml:space="preserve"> promise of world-wide peace,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prosperity, and universal democracy by any means disappeared today, when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the imperialist exploitation of Conrad</w:t>
      </w:r>
      <w:r w:rsidR="00C254B7" w:rsidRPr="00C254B7">
        <w:rPr>
          <w14:ligatures w14:val="standardContextual"/>
          <w14:numForm w14:val="oldStyle"/>
        </w:rPr>
        <w:t>’</w:t>
      </w:r>
      <w:r w:rsidRPr="00C254B7">
        <w:rPr>
          <w14:ligatures w14:val="standardContextual"/>
          <w14:numForm w14:val="oldStyle"/>
        </w:rPr>
        <w:t>s day and its accompanying philanthropic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idealism has been replaced by the utopian promises made for the new global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economy and the new regime of </w:t>
      </w:r>
      <w:proofErr w:type="spellStart"/>
      <w:r w:rsidRPr="00C254B7">
        <w:rPr>
          <w14:ligatures w14:val="standardContextual"/>
          <w14:numForm w14:val="oldStyle"/>
        </w:rPr>
        <w:t>scientifico</w:t>
      </w:r>
      <w:proofErr w:type="spellEnd"/>
      <w:r w:rsidRPr="00C254B7">
        <w:rPr>
          <w14:ligatures w14:val="standardContextual"/>
          <w14:numForm w14:val="oldStyle"/>
        </w:rPr>
        <w:t>-bio-medico-techno-</w:t>
      </w:r>
      <w:proofErr w:type="spellStart"/>
      <w:r w:rsidRPr="00C254B7">
        <w:rPr>
          <w14:ligatures w14:val="standardContextual"/>
          <w14:numForm w14:val="oldStyle"/>
        </w:rPr>
        <w:t>mediatictelecommunications</w:t>
      </w:r>
      <w:proofErr w:type="spellEnd"/>
      <w:r w:rsidRPr="00C254B7">
        <w:rPr>
          <w14:ligatures w14:val="standardContextual"/>
          <w14:numForm w14:val="oldStyle"/>
        </w:rPr>
        <w:t>.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As Jacques Derrida and Werner </w:t>
      </w:r>
      <w:proofErr w:type="spellStart"/>
      <w:r w:rsidRPr="00C254B7">
        <w:rPr>
          <w14:ligatures w14:val="standardContextual"/>
          <w14:numForm w14:val="oldStyle"/>
        </w:rPr>
        <w:t>Hamacher</w:t>
      </w:r>
      <w:proofErr w:type="spellEnd"/>
      <w:r w:rsidRPr="00C254B7">
        <w:rPr>
          <w14:ligatures w14:val="standardContextual"/>
          <w14:numForm w14:val="oldStyle"/>
        </w:rPr>
        <w:t xml:space="preserve"> have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recognized</w:t>
      </w:r>
      <w:proofErr w:type="gramStart"/>
      <w:r w:rsidRPr="00C254B7">
        <w:rPr>
          <w14:ligatures w14:val="standardContextual"/>
          <w14:numForm w14:val="oldStyle"/>
        </w:rPr>
        <w:t>,</w:t>
      </w:r>
      <w:r w:rsidRPr="00C254B7">
        <w:rPr>
          <w:sz w:val="14"/>
          <w:szCs w:val="14"/>
          <w14:ligatures w14:val="standardContextual"/>
          <w14:numForm w14:val="oldStyle"/>
        </w:rPr>
        <w:t>7</w:t>
      </w:r>
      <w:proofErr w:type="gramEnd"/>
      <w:r w:rsidRPr="00C254B7">
        <w:rPr>
          <w:sz w:val="14"/>
          <w:szCs w:val="14"/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the political left and the political right are consonant in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promises they make. The promise of universal prosperity made for the new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scientific economy dominated by technology and transformative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communications techniques echoes the messianic promise, a </w:t>
      </w:r>
      <w:proofErr w:type="spellStart"/>
      <w:r w:rsidRPr="00C254B7">
        <w:rPr>
          <w14:ligatures w14:val="standardContextual"/>
          <w14:numForm w14:val="oldStyle"/>
        </w:rPr>
        <w:t>messianism</w:t>
      </w:r>
      <w:proofErr w:type="spellEnd"/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without messiah, of classical Marxism. It also echoes the promise made by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rightwing ideologies, even the most unspeakably brutal, for example the Nazi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promise of a thousand year Reich. We are inundated, swamped, engulfed every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day by the present form of those promises, in all the media, in newspapers and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magazines, on television, in advertising, on the Internet, in political and policy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pronouncements--all guaranteeing that everything will get bigger, faster, better,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more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user-friendly,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and lead to worldwide </w:t>
      </w:r>
      <w:proofErr w:type="spellStart"/>
      <w:r w:rsidRPr="00C254B7">
        <w:rPr>
          <w14:ligatures w14:val="standardContextual"/>
          <w14:numForm w14:val="oldStyle"/>
        </w:rPr>
        <w:t>millenial</w:t>
      </w:r>
      <w:proofErr w:type="spellEnd"/>
      <w:r w:rsidRPr="00C254B7">
        <w:rPr>
          <w14:ligatures w14:val="standardContextual"/>
          <w14:numForm w14:val="oldStyle"/>
        </w:rPr>
        <w:t xml:space="preserve"> prosperity. These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 xml:space="preserve">promises are all made by language or other signs,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the gift of expression,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bewildering, the illuminating, the most exalted and the most contemptible, the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pulsating stream of light, or the deceitful flow from the heart of an impenetrable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darkness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(48).</w:t>
      </w:r>
    </w:p>
    <w:p w:rsidR="00903E59" w:rsidRPr="00C254B7" w:rsidRDefault="00903E59" w:rsidP="00007FF2">
      <w:pPr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t xml:space="preserve">I return to my beginning. Should we, ought we, to read </w:t>
      </w:r>
      <w:r w:rsidRPr="00C254B7">
        <w:rPr>
          <w:i/>
          <w:iCs/>
          <w14:ligatures w14:val="standardContextual"/>
          <w14:numForm w14:val="oldStyle"/>
        </w:rPr>
        <w:t>Heart of Darkness</w:t>
      </w:r>
      <w:r w:rsidRPr="00C254B7">
        <w:rPr>
          <w14:ligatures w14:val="standardContextual"/>
          <w14:numForm w14:val="oldStyle"/>
        </w:rPr>
        <w:t>? Each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reader must decide that for himself or herself. There are certainly ways to read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that might do harm, for example if it is read as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straightforwardly endorsing Eurocentric racist and sexist ideologies. If it is read,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however, as I believe it should be read, as a powerful exemplary revelation of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the ideology of capitalist imperialism, including its racism and sexism, as that</w:t>
      </w:r>
      <w:r w:rsidR="00007FF2" w:rsidRPr="00C254B7">
        <w:rPr>
          <w14:ligatures w14:val="standardContextual"/>
          <w14:numForm w14:val="oldStyle"/>
        </w:rPr>
        <w:t xml:space="preserve"> </w:t>
      </w:r>
      <w:proofErr w:type="spellStart"/>
      <w:r w:rsidRPr="00C254B7">
        <w:rPr>
          <w14:ligatures w14:val="standardContextual"/>
          <w14:numForm w14:val="oldStyle"/>
        </w:rPr>
        <w:t>idealogy</w:t>
      </w:r>
      <w:proofErr w:type="spellEnd"/>
      <w:r w:rsidRPr="00C254B7">
        <w:rPr>
          <w14:ligatures w14:val="standardContextual"/>
          <w14:numForm w14:val="oldStyle"/>
        </w:rPr>
        <w:t xml:space="preserve"> is consonant with a certain </w:t>
      </w:r>
      <w:proofErr w:type="spellStart"/>
      <w:r w:rsidRPr="00C254B7">
        <w:rPr>
          <w14:ligatures w14:val="standardContextual"/>
          <w14:numForm w14:val="oldStyle"/>
        </w:rPr>
        <w:t>defnition</w:t>
      </w:r>
      <w:proofErr w:type="spellEnd"/>
      <w:r w:rsidRPr="00C254B7">
        <w:rPr>
          <w14:ligatures w14:val="standardContextual"/>
          <w14:numForm w14:val="oldStyle"/>
        </w:rPr>
        <w:t xml:space="preserve"> of literature that is its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concomitant, including a non-revelatory revelation or invocation in both of an</w:t>
      </w:r>
      <w:r w:rsidR="00007FF2" w:rsidRPr="00C254B7">
        <w:rPr>
          <w14:ligatures w14:val="standardContextual"/>
          <w14:numForm w14:val="oldStyle"/>
        </w:rPr>
        <w:t xml:space="preserve"> </w:t>
      </w:r>
      <w:r w:rsidR="00C254B7" w:rsidRPr="00C254B7">
        <w:rPr>
          <w14:ligatures w14:val="standardContextual"/>
          <w14:numForm w14:val="oldStyle"/>
        </w:rPr>
        <w:t>“</w:t>
      </w:r>
      <w:r w:rsidRPr="00C254B7">
        <w:rPr>
          <w14:ligatures w14:val="standardContextual"/>
          <w14:numForm w14:val="oldStyle"/>
        </w:rPr>
        <w:t>exemplary</w:t>
      </w:r>
      <w:r w:rsidR="00C254B7" w:rsidRPr="00C254B7">
        <w:rPr>
          <w14:ligatures w14:val="standardContextual"/>
          <w14:numForm w14:val="oldStyle"/>
        </w:rPr>
        <w:t>”</w:t>
      </w:r>
      <w:r w:rsidRPr="00C254B7">
        <w:rPr>
          <w14:ligatures w14:val="standardContextual"/>
          <w14:numForm w14:val="oldStyle"/>
        </w:rPr>
        <w:t xml:space="preserve"> non-</w:t>
      </w:r>
      <w:proofErr w:type="spellStart"/>
      <w:r w:rsidRPr="00C254B7">
        <w:rPr>
          <w14:ligatures w14:val="standardContextual"/>
          <w14:numForm w14:val="oldStyle"/>
        </w:rPr>
        <w:t>revealable</w:t>
      </w:r>
      <w:proofErr w:type="spellEnd"/>
      <w:r w:rsidRPr="00C254B7">
        <w:rPr>
          <w14:ligatures w14:val="standardContextual"/>
          <w14:numForm w14:val="oldStyle"/>
        </w:rPr>
        <w:t xml:space="preserve"> secret, then, I declare, </w:t>
      </w:r>
      <w:r w:rsidRPr="00C254B7">
        <w:rPr>
          <w:i/>
          <w:iCs/>
          <w14:ligatures w14:val="standardContextual"/>
          <w14:numForm w14:val="oldStyle"/>
        </w:rPr>
        <w:t xml:space="preserve">Heart of Darkness </w:t>
      </w:r>
      <w:r w:rsidRPr="00C254B7">
        <w:rPr>
          <w14:ligatures w14:val="standardContextual"/>
          <w14:numForm w14:val="oldStyle"/>
        </w:rPr>
        <w:t>should be</w:t>
      </w:r>
      <w:r w:rsidR="00007FF2" w:rsidRPr="00C254B7">
        <w:rPr>
          <w14:ligatures w14:val="standardContextual"/>
          <w14:numForm w14:val="oldStyle"/>
        </w:rPr>
        <w:t xml:space="preserve"> </w:t>
      </w:r>
      <w:r w:rsidRPr="00C254B7">
        <w:rPr>
          <w14:ligatures w14:val="standardContextual"/>
          <w14:numForm w14:val="oldStyle"/>
        </w:rPr>
        <w:t>read, ought to be read. There is an obligation to do so.</w:t>
      </w:r>
    </w:p>
    <w:p w:rsidR="00903E59" w:rsidRPr="00C254B7" w:rsidRDefault="00903E59" w:rsidP="00007FF2">
      <w:pPr>
        <w:pStyle w:val="Heading1"/>
        <w:rPr>
          <w14:ligatures w14:val="standardContextual"/>
          <w14:numForm w14:val="oldStyle"/>
        </w:rPr>
      </w:pPr>
      <w:r w:rsidRPr="00C254B7">
        <w:rPr>
          <w14:ligatures w14:val="standardContextual"/>
          <w14:numForm w14:val="oldStyle"/>
        </w:rPr>
        <w:lastRenderedPageBreak/>
        <w:t>Notes:</w:t>
      </w:r>
    </w:p>
    <w:p w:rsidR="00903E59" w:rsidRPr="00C254B7" w:rsidRDefault="00903E59" w:rsidP="00007FF2">
      <w:pPr>
        <w:autoSpaceDE w:val="0"/>
        <w:autoSpaceDN w:val="0"/>
        <w:adjustRightInd w:val="0"/>
        <w:spacing w:after="240"/>
        <w:rPr>
          <w:rFonts w:asciiTheme="majorHAnsi" w:hAnsiTheme="majorHAnsi"/>
          <w:sz w:val="28"/>
          <w:szCs w:val="28"/>
          <w14:ligatures w14:val="standardContextual"/>
          <w14:numForm w14:val="oldStyle"/>
        </w:rPr>
      </w:pP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1This essay was originally given at a conference on Conrad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’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s </w:t>
      </w:r>
      <w:r w:rsidRPr="00C254B7">
        <w:rPr>
          <w:rFonts w:asciiTheme="majorHAnsi" w:hAnsiTheme="majorHAnsi"/>
          <w:i/>
          <w:iCs/>
          <w:sz w:val="28"/>
          <w:szCs w:val="28"/>
          <w14:ligatures w14:val="standardContextual"/>
          <w14:numForm w14:val="oldStyle"/>
        </w:rPr>
        <w:t>Heart of Darkness</w:t>
      </w:r>
      <w:r w:rsidR="00007FF2" w:rsidRPr="00C254B7">
        <w:rPr>
          <w:rFonts w:asciiTheme="majorHAnsi" w:hAnsiTheme="majorHAnsi"/>
          <w:i/>
          <w:iCs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held at the University of Potchefstroom in South Africa in March, 1998. It is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reprinted here by permission.</w:t>
      </w:r>
    </w:p>
    <w:p w:rsidR="00903E59" w:rsidRPr="00C254B7" w:rsidRDefault="00903E59" w:rsidP="00007FF2">
      <w:pPr>
        <w:autoSpaceDE w:val="0"/>
        <w:autoSpaceDN w:val="0"/>
        <w:adjustRightInd w:val="0"/>
        <w:spacing w:after="240"/>
        <w:rPr>
          <w:rFonts w:asciiTheme="majorHAnsi" w:hAnsiTheme="majorHAnsi"/>
          <w:sz w:val="28"/>
          <w:szCs w:val="28"/>
          <w14:ligatures w14:val="standardContextual"/>
          <w14:numForm w14:val="oldStyle"/>
        </w:rPr>
      </w:pP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2The 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“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original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”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(but what is more problematic than this concept of an original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base for a fictional work?) of the framing scene was, if Ford </w:t>
      </w:r>
      <w:proofErr w:type="spellStart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Madox</w:t>
      </w:r>
      <w:proofErr w:type="spellEnd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Ford is to be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believed, Conrad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’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s residence in Stamford-le-Hope in Essex from September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1896 to September 1898. There he knew various businessmen who did indeed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take weekend cruises on a yawl. 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“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[H]e was still quivering,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”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says Ford, 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“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with his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attempt. </w:t>
      </w:r>
      <w:proofErr w:type="gramStart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with</w:t>
      </w:r>
      <w:proofErr w:type="gramEnd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the aid of the Director, the Lawyer, and the Accountant, to float a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diamond mine in South Africa. For Conrad had his adventures of that sort, too-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-adventures ending naturally in frustration....while waiting for that financial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flotation to mature, he floated </w:t>
      </w:r>
      <w:proofErr w:type="spellStart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physially</w:t>
      </w:r>
      <w:proofErr w:type="spellEnd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during week-ends in the company of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those financiers on the bosom of that tranquil waterway [the Thames]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”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(Joseph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Conrad, </w:t>
      </w:r>
      <w:r w:rsidRPr="00C254B7">
        <w:rPr>
          <w:rFonts w:asciiTheme="majorHAnsi" w:hAnsiTheme="majorHAnsi"/>
          <w:i/>
          <w:iCs/>
          <w:sz w:val="28"/>
          <w:szCs w:val="28"/>
          <w14:ligatures w14:val="standardContextual"/>
          <w14:numForm w14:val="oldStyle"/>
        </w:rPr>
        <w:t>Heart of Darkness: An Authoritative Text; Backgrounds and Sources; Essays</w:t>
      </w:r>
      <w:r w:rsidR="00007FF2" w:rsidRPr="00C254B7">
        <w:rPr>
          <w:rFonts w:asciiTheme="majorHAnsi" w:hAnsiTheme="majorHAnsi"/>
          <w:i/>
          <w:iCs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i/>
          <w:iCs/>
          <w:sz w:val="28"/>
          <w:szCs w:val="28"/>
          <w14:ligatures w14:val="standardContextual"/>
          <w14:numForm w14:val="oldStyle"/>
        </w:rPr>
        <w:t>in Criticism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, ed. Robert Kimbrough, Norton Critical Edition [New York: Norton,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1963], 127). 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“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To float a diamond mine in South Africa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”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! Nothing is said about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this in the story itself, and Marlow, the reader must always remember, must be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kept strictly separate from Conrad himself, as separate as the narrator of 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“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The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Secret Sharer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”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must be kept from his ghostly double. Ford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’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s </w:t>
      </w:r>
      <w:proofErr w:type="spellStart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testimomy</w:t>
      </w:r>
      <w:proofErr w:type="spellEnd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,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however, shows that Conrad himself was complicit, or wanted to be complicit,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if he could have raised the money for it, in an exploitative imperialist enterprise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that is not so different from Leopold II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’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s merciless and murderous exploitation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of the Congo or from Kurtz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’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s raiding the country for ivory. Conrad appears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momentarily to have fancied himself a miniature Cecil Rhodes.</w:t>
      </w:r>
    </w:p>
    <w:p w:rsidR="00903E59" w:rsidRPr="00C254B7" w:rsidRDefault="00903E59" w:rsidP="00007FF2">
      <w:pPr>
        <w:autoSpaceDE w:val="0"/>
        <w:autoSpaceDN w:val="0"/>
        <w:adjustRightInd w:val="0"/>
        <w:spacing w:after="240"/>
        <w:rPr>
          <w:rFonts w:asciiTheme="majorHAnsi" w:hAnsiTheme="majorHAnsi"/>
          <w:sz w:val="28"/>
          <w:szCs w:val="28"/>
          <w14:ligatures w14:val="standardContextual"/>
          <w14:numForm w14:val="oldStyle"/>
        </w:rPr>
      </w:pP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3All citations from </w:t>
      </w:r>
      <w:r w:rsidRPr="00C254B7">
        <w:rPr>
          <w:rFonts w:asciiTheme="majorHAnsi" w:hAnsiTheme="majorHAnsi"/>
          <w:i/>
          <w:iCs/>
          <w:sz w:val="28"/>
          <w:szCs w:val="28"/>
          <w14:ligatures w14:val="standardContextual"/>
          <w14:numForm w14:val="oldStyle"/>
        </w:rPr>
        <w:t xml:space="preserve">Heart of Darkness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are from the first Norton Critical Edition,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identified in the first footnote above. Numbers in parentheses after quotations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refer to page numbers in this edition.</w:t>
      </w:r>
    </w:p>
    <w:p w:rsidR="00903E59" w:rsidRPr="00C254B7" w:rsidRDefault="00903E59" w:rsidP="00007FF2">
      <w:pPr>
        <w:autoSpaceDE w:val="0"/>
        <w:autoSpaceDN w:val="0"/>
        <w:adjustRightInd w:val="0"/>
        <w:spacing w:after="240"/>
        <w:rPr>
          <w:rFonts w:asciiTheme="majorHAnsi" w:hAnsiTheme="majorHAnsi"/>
          <w:sz w:val="28"/>
          <w:szCs w:val="28"/>
          <w14:ligatures w14:val="standardContextual"/>
          <w14:numForm w14:val="oldStyle"/>
        </w:rPr>
      </w:pP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4These citations are from the valuable 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“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Critical History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”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in Joseph Conrad,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i/>
          <w:iCs/>
          <w:sz w:val="28"/>
          <w:szCs w:val="28"/>
          <w14:ligatures w14:val="standardContextual"/>
          <w14:numForm w14:val="oldStyle"/>
        </w:rPr>
        <w:t>Heart of Darkness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, ed. Ross C. </w:t>
      </w:r>
      <w:proofErr w:type="spellStart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Murfin</w:t>
      </w:r>
      <w:proofErr w:type="spellEnd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, Bedford Case Studies, 2nd ed. (Boston;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New York: Bedford Books of St. Martin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’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s Press, 1966), 107, </w:t>
      </w:r>
      <w:proofErr w:type="gramStart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109</w:t>
      </w:r>
      <w:proofErr w:type="gramEnd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.</w:t>
      </w:r>
    </w:p>
    <w:p w:rsidR="00903E59" w:rsidRPr="00C254B7" w:rsidRDefault="00903E59" w:rsidP="00007FF2">
      <w:pPr>
        <w:autoSpaceDE w:val="0"/>
        <w:autoSpaceDN w:val="0"/>
        <w:adjustRightInd w:val="0"/>
        <w:spacing w:after="240"/>
        <w:rPr>
          <w:rFonts w:asciiTheme="majorHAnsi" w:hAnsiTheme="majorHAnsi"/>
          <w:sz w:val="28"/>
          <w:szCs w:val="28"/>
          <w14:ligatures w14:val="standardContextual"/>
          <w14:numForm w14:val="oldStyle"/>
        </w:rPr>
      </w:pP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5Edward Said, </w:t>
      </w:r>
      <w:r w:rsidRPr="00C254B7">
        <w:rPr>
          <w:rFonts w:asciiTheme="majorHAnsi" w:hAnsiTheme="majorHAnsi"/>
          <w:i/>
          <w:iCs/>
          <w:sz w:val="28"/>
          <w:szCs w:val="28"/>
          <w14:ligatures w14:val="standardContextual"/>
          <w14:numForm w14:val="oldStyle"/>
        </w:rPr>
        <w:t xml:space="preserve">Culture and Imperialism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(New York: Vintage Books, 1994), 30.</w:t>
      </w:r>
    </w:p>
    <w:p w:rsidR="00903E59" w:rsidRPr="00C254B7" w:rsidRDefault="00903E59" w:rsidP="00007FF2">
      <w:pPr>
        <w:autoSpaceDE w:val="0"/>
        <w:autoSpaceDN w:val="0"/>
        <w:adjustRightInd w:val="0"/>
        <w:spacing w:after="240"/>
        <w:rPr>
          <w:rFonts w:asciiTheme="majorHAnsi" w:hAnsiTheme="majorHAnsi"/>
          <w:sz w:val="28"/>
          <w:szCs w:val="28"/>
          <w14:ligatures w14:val="standardContextual"/>
          <w14:numForm w14:val="oldStyle"/>
        </w:rPr>
      </w:pP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lastRenderedPageBreak/>
        <w:t xml:space="preserve">6Jacques Derrida, 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“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Passions,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”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trans. David Wood, </w:t>
      </w:r>
      <w:r w:rsidRPr="00C254B7">
        <w:rPr>
          <w:rFonts w:asciiTheme="majorHAnsi" w:hAnsiTheme="majorHAnsi"/>
          <w:i/>
          <w:iCs/>
          <w:sz w:val="28"/>
          <w:szCs w:val="28"/>
          <w14:ligatures w14:val="standardContextual"/>
          <w14:numForm w14:val="oldStyle"/>
        </w:rPr>
        <w:t xml:space="preserve">On the Name,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ed. Thomas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proofErr w:type="spellStart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Dutoit</w:t>
      </w:r>
      <w:proofErr w:type="spellEnd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proofErr w:type="gramStart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( Stanford</w:t>
      </w:r>
      <w:proofErr w:type="gramEnd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: Stanford University Press, 1995), 29.</w:t>
      </w:r>
    </w:p>
    <w:p w:rsidR="00875434" w:rsidRPr="00C254B7" w:rsidRDefault="00903E59" w:rsidP="00007FF2">
      <w:pPr>
        <w:autoSpaceDE w:val="0"/>
        <w:autoSpaceDN w:val="0"/>
        <w:adjustRightInd w:val="0"/>
        <w:spacing w:after="240"/>
        <w:rPr>
          <w:rFonts w:asciiTheme="majorHAnsi" w:hAnsiTheme="majorHAnsi"/>
          <w:sz w:val="28"/>
          <w:szCs w:val="28"/>
          <w14:ligatures w14:val="standardContextual"/>
          <w14:numForm w14:val="oldStyle"/>
        </w:rPr>
      </w:pP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7See Jacques Derrida, </w:t>
      </w:r>
      <w:r w:rsidRPr="00C254B7">
        <w:rPr>
          <w:rFonts w:asciiTheme="majorHAnsi" w:hAnsiTheme="majorHAnsi"/>
          <w:i/>
          <w:iCs/>
          <w:sz w:val="28"/>
          <w:szCs w:val="28"/>
          <w14:ligatures w14:val="standardContextual"/>
          <w14:numForm w14:val="oldStyle"/>
        </w:rPr>
        <w:t>Specters of Marx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, trans. Peggy </w:t>
      </w:r>
      <w:proofErr w:type="spellStart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Kamuf</w:t>
      </w:r>
      <w:proofErr w:type="spellEnd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(New York and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London: Routledge), and Werner </w:t>
      </w:r>
      <w:proofErr w:type="spellStart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Hamacher</w:t>
      </w:r>
      <w:proofErr w:type="spellEnd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, 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“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Lingua </w:t>
      </w:r>
      <w:proofErr w:type="spellStart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Amissa</w:t>
      </w:r>
      <w:proofErr w:type="spellEnd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: The </w:t>
      </w:r>
      <w:proofErr w:type="spellStart"/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Messianism</w:t>
      </w:r>
      <w:proofErr w:type="spellEnd"/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of Commodity-Language and Derrida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’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s </w:t>
      </w:r>
      <w:r w:rsidRPr="00C254B7">
        <w:rPr>
          <w:rFonts w:asciiTheme="majorHAnsi" w:hAnsiTheme="majorHAnsi"/>
          <w:i/>
          <w:iCs/>
          <w:sz w:val="28"/>
          <w:szCs w:val="28"/>
          <w14:ligatures w14:val="standardContextual"/>
          <w14:numForm w14:val="oldStyle"/>
        </w:rPr>
        <w:t>Specters of Marx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,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”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forthcoming from</w:t>
      </w:r>
      <w:r w:rsidR="00007FF2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 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Verso in a volume of essays about Derrida</w:t>
      </w:r>
      <w:r w:rsidR="00C254B7"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’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 xml:space="preserve">s </w:t>
      </w:r>
      <w:r w:rsidRPr="00C254B7">
        <w:rPr>
          <w:rFonts w:asciiTheme="majorHAnsi" w:hAnsiTheme="majorHAnsi"/>
          <w:i/>
          <w:iCs/>
          <w:sz w:val="28"/>
          <w:szCs w:val="28"/>
          <w14:ligatures w14:val="standardContextual"/>
          <w14:numForm w14:val="oldStyle"/>
        </w:rPr>
        <w:t>Specters of Marx</w:t>
      </w:r>
      <w:r w:rsidRPr="00C254B7">
        <w:rPr>
          <w:rFonts w:asciiTheme="majorHAnsi" w:hAnsiTheme="majorHAnsi"/>
          <w:sz w:val="28"/>
          <w:szCs w:val="28"/>
          <w14:ligatures w14:val="standardContextual"/>
          <w14:numForm w14:val="oldStyle"/>
        </w:rPr>
        <w:t>.</w:t>
      </w:r>
      <w:bookmarkEnd w:id="0"/>
    </w:p>
    <w:sectPr w:rsidR="00875434" w:rsidRPr="00C254B7" w:rsidSect="008754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E59"/>
    <w:rsid w:val="00007FF2"/>
    <w:rsid w:val="00875434"/>
    <w:rsid w:val="00903E59"/>
    <w:rsid w:val="00BE6C21"/>
    <w:rsid w:val="00C254B7"/>
    <w:rsid w:val="00E3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B4C4AE60-6F2F-480D-BEB8-056E32BE2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FF2"/>
    <w:pPr>
      <w:spacing w:after="120" w:line="240" w:lineRule="auto"/>
    </w:pPr>
    <w:rPr>
      <w:rFonts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7FF2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C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07FF2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07FF2"/>
    <w:rPr>
      <w:rFonts w:asciiTheme="majorHAnsi" w:eastAsiaTheme="majorEastAsia" w:hAnsiTheme="majorHAnsi" w:cstheme="majorBidi"/>
      <w:color w:val="C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6670</Words>
  <Characters>38024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Holly Grove Christian School</Company>
  <LinksUpToDate>false</LinksUpToDate>
  <CharactersWithSpaces>44605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Skip Nicholson</cp:lastModifiedBy>
  <cp:revision>2</cp:revision>
  <dcterms:created xsi:type="dcterms:W3CDTF">2014-12-09T20:21:00Z</dcterms:created>
  <dcterms:modified xsi:type="dcterms:W3CDTF">2014-12-09T20:21:00Z</dcterms:modified>
</cp:coreProperties>
</file>